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02E1" w14:textId="1623AF5B" w:rsidR="004252CA" w:rsidRPr="008D2549" w:rsidRDefault="00054DFD" w:rsidP="004252CA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4A81CBF2" wp14:editId="1AC4EF5D">
            <wp:extent cx="973206" cy="671513"/>
            <wp:effectExtent l="0" t="0" r="0" b="0"/>
            <wp:docPr id="1" name="Picture 1" descr="WI Centenary logo stand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 Centenary logo stand al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06" cy="6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1EA0" w14:textId="77777777" w:rsidR="004252CA" w:rsidRPr="008D2549" w:rsidRDefault="004252CA" w:rsidP="004252CA">
      <w:pPr>
        <w:jc w:val="center"/>
        <w:rPr>
          <w:b/>
          <w:sz w:val="20"/>
        </w:rPr>
      </w:pPr>
    </w:p>
    <w:p w14:paraId="065FF9AF" w14:textId="22CF6C12" w:rsidR="004252CA" w:rsidRPr="008D2549" w:rsidRDefault="004252CA" w:rsidP="008D2549">
      <w:pPr>
        <w:jc w:val="center"/>
        <w:rPr>
          <w:b/>
          <w:sz w:val="20"/>
        </w:rPr>
      </w:pPr>
      <w:r w:rsidRPr="008D2549">
        <w:rPr>
          <w:b/>
          <w:sz w:val="20"/>
        </w:rPr>
        <w:t xml:space="preserve">NOTTINGHAMSHIRE FEDERATION BOARD of TRUSTEES  </w:t>
      </w:r>
    </w:p>
    <w:p w14:paraId="2AFA5BD5" w14:textId="4422C031" w:rsidR="004252CA" w:rsidRPr="00947CE2" w:rsidRDefault="00683E71" w:rsidP="004252CA">
      <w:pPr>
        <w:jc w:val="center"/>
        <w:rPr>
          <w:rFonts w:cs="Arial"/>
          <w:b/>
          <w:color w:val="70AD47" w:themeColor="accent6"/>
          <w:sz w:val="56"/>
          <w:szCs w:val="56"/>
        </w:rPr>
      </w:pPr>
      <w:r w:rsidRPr="00947CE2">
        <w:rPr>
          <w:rFonts w:cs="Arial"/>
          <w:b/>
          <w:color w:val="70AD47" w:themeColor="accent6"/>
          <w:sz w:val="56"/>
          <w:szCs w:val="56"/>
        </w:rPr>
        <w:t>365</w:t>
      </w:r>
      <w:r w:rsidR="00A24E8D" w:rsidRPr="00947CE2">
        <w:rPr>
          <w:rFonts w:cs="Arial"/>
          <w:b/>
          <w:color w:val="70AD47" w:themeColor="accent6"/>
          <w:sz w:val="56"/>
          <w:szCs w:val="56"/>
        </w:rPr>
        <w:t xml:space="preserve"> </w:t>
      </w:r>
      <w:r w:rsidR="00180601" w:rsidRPr="00947CE2">
        <w:rPr>
          <w:rFonts w:cs="Arial"/>
          <w:b/>
          <w:color w:val="70AD47" w:themeColor="accent6"/>
          <w:sz w:val="56"/>
          <w:szCs w:val="56"/>
        </w:rPr>
        <w:t>access</w:t>
      </w:r>
      <w:r w:rsidR="00F21EF3" w:rsidRPr="00947CE2">
        <w:rPr>
          <w:rFonts w:cs="Arial"/>
          <w:b/>
          <w:color w:val="70AD47" w:themeColor="accent6"/>
          <w:sz w:val="56"/>
          <w:szCs w:val="56"/>
        </w:rPr>
        <w:t xml:space="preserve"> for WI members</w:t>
      </w:r>
    </w:p>
    <w:p w14:paraId="61A1C920" w14:textId="77777777" w:rsidR="004252CA" w:rsidRPr="00F52F42" w:rsidRDefault="004252CA" w:rsidP="004252CA">
      <w:pPr>
        <w:jc w:val="center"/>
        <w:rPr>
          <w:rFonts w:cs="Arial"/>
          <w:b/>
          <w:sz w:val="28"/>
          <w:szCs w:val="28"/>
        </w:rPr>
      </w:pPr>
    </w:p>
    <w:p w14:paraId="16ADCD29" w14:textId="112DF33B" w:rsidR="004252CA" w:rsidRPr="008D2549" w:rsidRDefault="00F21EF3" w:rsidP="004252CA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 wp14:anchorId="611495FE" wp14:editId="33842830">
            <wp:extent cx="942975" cy="3041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ffice_365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9" cy="32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601">
        <w:rPr>
          <w:rFonts w:cs="Arial"/>
          <w:b/>
          <w:noProof/>
          <w:szCs w:val="24"/>
        </w:rPr>
        <w:t xml:space="preserve">    </w:t>
      </w:r>
      <w:r>
        <w:rPr>
          <w:rFonts w:cs="Arial"/>
          <w:b/>
          <w:noProof/>
          <w:szCs w:val="24"/>
        </w:rPr>
        <w:drawing>
          <wp:inline distT="0" distB="0" distL="0" distR="0" wp14:anchorId="65E5F1E2" wp14:editId="6B2256B5">
            <wp:extent cx="585787" cy="64281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confused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31" cy="6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A44D07" w14:textId="314C95CE" w:rsidR="004252CA" w:rsidRDefault="004252CA" w:rsidP="004252CA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022"/>
      </w:tblGrid>
      <w:tr w:rsidR="0019521B" w14:paraId="4D7AB2A8" w14:textId="77777777" w:rsidTr="002D0669">
        <w:trPr>
          <w:trHeight w:val="4679"/>
        </w:trPr>
        <w:tc>
          <w:tcPr>
            <w:tcW w:w="5022" w:type="dxa"/>
          </w:tcPr>
          <w:p w14:paraId="7C8F0289" w14:textId="468DC939" w:rsidR="0019521B" w:rsidRDefault="0019521B" w:rsidP="004252C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inline distT="0" distB="0" distL="0" distR="0" wp14:anchorId="77D43778" wp14:editId="6FA3E642">
                  <wp:extent cx="2676525" cy="2895600"/>
                  <wp:effectExtent l="19050" t="19050" r="28575" b="19050"/>
                  <wp:docPr id="2" name="Picture 2" descr="C:\Users\User\AppData\Local\Microsoft\Windows\INetCache\Content.Word\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INetCache\Content.Word\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" b="15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895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14:paraId="156136A9" w14:textId="3B3C50A4" w:rsidR="0019521B" w:rsidRDefault="0019521B" w:rsidP="004252C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CEA7679" wp14:editId="16AB6DAB">
                  <wp:extent cx="2207419" cy="2943225"/>
                  <wp:effectExtent l="0" t="0" r="2540" b="0"/>
                  <wp:docPr id="5" name="Picture 5" descr="C:\Users\User\AppData\Local\Microsoft\Windows\INetCache\Content.Word\365 ag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Microsoft\Windows\INetCache\Content.Word\365 ag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78" cy="294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BBE2D" w14:textId="77777777" w:rsidR="007B7CE1" w:rsidRDefault="007B7CE1" w:rsidP="004252CA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BA9A51E" w14:textId="4CBCE078" w:rsidR="004252CA" w:rsidRDefault="004252CA" w:rsidP="00180601">
      <w:pPr>
        <w:tabs>
          <w:tab w:val="left" w:pos="1701"/>
          <w:tab w:val="left" w:pos="2268"/>
        </w:tabs>
        <w:jc w:val="center"/>
        <w:rPr>
          <w:rFonts w:ascii="Arial Narrow" w:hAnsi="Arial Narrow" w:cs="Arial"/>
          <w:sz w:val="22"/>
          <w:szCs w:val="22"/>
        </w:rPr>
      </w:pPr>
    </w:p>
    <w:p w14:paraId="724CF5C4" w14:textId="77777777" w:rsidR="00180601" w:rsidRPr="002C394E" w:rsidRDefault="00180601" w:rsidP="00180601">
      <w:pPr>
        <w:tabs>
          <w:tab w:val="left" w:pos="1701"/>
          <w:tab w:val="left" w:pos="2268"/>
        </w:tabs>
        <w:jc w:val="center"/>
        <w:rPr>
          <w:rFonts w:ascii="Arial Narrow" w:hAnsi="Arial Narrow" w:cs="Arial"/>
          <w:sz w:val="22"/>
          <w:szCs w:val="22"/>
        </w:rPr>
      </w:pPr>
    </w:p>
    <w:p w14:paraId="52A4192D" w14:textId="3773975D" w:rsidR="004252CA" w:rsidRPr="00D63D0F" w:rsidRDefault="00180601" w:rsidP="00180601">
      <w:pPr>
        <w:tabs>
          <w:tab w:val="left" w:pos="1701"/>
          <w:tab w:val="left" w:pos="2268"/>
        </w:tabs>
        <w:jc w:val="both"/>
        <w:rPr>
          <w:rFonts w:cs="Arial"/>
          <w:szCs w:val="24"/>
        </w:rPr>
      </w:pPr>
      <w:r w:rsidRPr="00D63D0F">
        <w:rPr>
          <w:rFonts w:cs="Arial"/>
          <w:szCs w:val="24"/>
        </w:rPr>
        <w:t>Now all our WI members can access</w:t>
      </w:r>
      <w:r w:rsidR="004C429E" w:rsidRPr="00D63D0F">
        <w:rPr>
          <w:rFonts w:cs="Arial"/>
          <w:szCs w:val="24"/>
        </w:rPr>
        <w:t xml:space="preserve"> our secure Nottinghamshire WI site. </w:t>
      </w:r>
      <w:r w:rsidR="00D63D0F">
        <w:rPr>
          <w:rFonts w:cs="Arial"/>
          <w:szCs w:val="24"/>
        </w:rPr>
        <w:t>This is how:</w:t>
      </w:r>
    </w:p>
    <w:p w14:paraId="77F8A84F" w14:textId="77777777" w:rsidR="00180601" w:rsidRDefault="00180601" w:rsidP="00180601">
      <w:pPr>
        <w:tabs>
          <w:tab w:val="left" w:pos="1701"/>
          <w:tab w:val="left" w:pos="2268"/>
        </w:tabs>
        <w:jc w:val="both"/>
        <w:rPr>
          <w:rFonts w:cs="Arial"/>
          <w:sz w:val="20"/>
        </w:rPr>
      </w:pPr>
    </w:p>
    <w:p w14:paraId="3F26A133" w14:textId="3622960B" w:rsidR="00180601" w:rsidRDefault="00180601" w:rsidP="00180601">
      <w:pPr>
        <w:pStyle w:val="ListParagraph"/>
        <w:numPr>
          <w:ilvl w:val="0"/>
          <w:numId w:val="11"/>
        </w:num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Search for Office.com on the internet.</w:t>
      </w:r>
      <w:r w:rsidR="00EF2988">
        <w:rPr>
          <w:rFonts w:cs="Arial"/>
          <w:sz w:val="22"/>
          <w:szCs w:val="22"/>
        </w:rPr>
        <w:t xml:space="preserve"> On the “Welcome to Office” page click sign in.</w:t>
      </w:r>
    </w:p>
    <w:p w14:paraId="67E2EDB9" w14:textId="77777777" w:rsidR="00D63D0F" w:rsidRPr="00D63D0F" w:rsidRDefault="00D63D0F" w:rsidP="00D63D0F">
      <w:p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</w:p>
    <w:p w14:paraId="023FBAFA" w14:textId="3742BAD4" w:rsidR="00180601" w:rsidRDefault="00180601" w:rsidP="00180601">
      <w:pPr>
        <w:pStyle w:val="ListParagraph"/>
        <w:numPr>
          <w:ilvl w:val="0"/>
          <w:numId w:val="11"/>
        </w:num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Sign in using  </w:t>
      </w:r>
      <w:hyperlink r:id="rId16" w:history="1">
        <w:r w:rsidRPr="00786555">
          <w:rPr>
            <w:rStyle w:val="Hyperlink"/>
            <w:rFonts w:cs="Arial"/>
            <w:sz w:val="22"/>
            <w:szCs w:val="22"/>
          </w:rPr>
          <w:t>members@nottswi.org.uk</w:t>
        </w:r>
      </w:hyperlink>
      <w:r>
        <w:rPr>
          <w:rFonts w:cs="Arial"/>
          <w:sz w:val="22"/>
          <w:szCs w:val="22"/>
        </w:rPr>
        <w:t xml:space="preserve"> (see pic)</w:t>
      </w:r>
      <w:r w:rsidR="00EF2988">
        <w:rPr>
          <w:rFonts w:cs="Arial"/>
          <w:sz w:val="22"/>
          <w:szCs w:val="22"/>
        </w:rPr>
        <w:t xml:space="preserve"> then press Next.</w:t>
      </w:r>
    </w:p>
    <w:p w14:paraId="16061FB3" w14:textId="6882A931" w:rsidR="00D63D0F" w:rsidRPr="00D63D0F" w:rsidRDefault="00D63D0F" w:rsidP="00D63D0F">
      <w:p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</w:p>
    <w:p w14:paraId="7F416182" w14:textId="1832B77F" w:rsidR="00180601" w:rsidRDefault="00EF2988" w:rsidP="00180601">
      <w:pPr>
        <w:pStyle w:val="ListParagraph"/>
        <w:numPr>
          <w:ilvl w:val="0"/>
          <w:numId w:val="11"/>
        </w:num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Enter</w:t>
      </w:r>
      <w:r w:rsidR="00180601">
        <w:rPr>
          <w:rFonts w:cs="Arial"/>
          <w:sz w:val="22"/>
          <w:szCs w:val="22"/>
        </w:rPr>
        <w:t xml:space="preserve"> password CountyHouse1975</w:t>
      </w:r>
    </w:p>
    <w:p w14:paraId="6CB63F01" w14:textId="77777777" w:rsidR="00D63D0F" w:rsidRPr="00D63D0F" w:rsidRDefault="00D63D0F" w:rsidP="00D63D0F">
      <w:p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</w:p>
    <w:p w14:paraId="15AC2C48" w14:textId="37E4AD9E" w:rsidR="00EF2988" w:rsidRDefault="00EF2988" w:rsidP="00180601">
      <w:pPr>
        <w:pStyle w:val="ListParagraph"/>
        <w:numPr>
          <w:ilvl w:val="0"/>
          <w:numId w:val="11"/>
        </w:num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see a page with the Apps and symbols for One Drive, Word, Excel, PowerPoint, One Note and SharePoint. Click SharePoint.</w:t>
      </w:r>
    </w:p>
    <w:p w14:paraId="5AE5487C" w14:textId="77A1B7E8" w:rsidR="00D63D0F" w:rsidRPr="00D63D0F" w:rsidRDefault="00D63D0F" w:rsidP="00D63D0F">
      <w:p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</w:p>
    <w:p w14:paraId="17FC7737" w14:textId="10175056" w:rsidR="00EF2988" w:rsidRDefault="00EF2988" w:rsidP="00EF2988">
      <w:pPr>
        <w:pStyle w:val="ListParagraph"/>
        <w:numPr>
          <w:ilvl w:val="0"/>
          <w:numId w:val="11"/>
        </w:num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 the “Frequent Sites” page, move to the top of the page, onto the black web address bar, and delete everything after </w:t>
      </w:r>
      <w:hyperlink r:id="rId17" w:history="1">
        <w:r w:rsidRPr="00786555">
          <w:rPr>
            <w:rStyle w:val="Hyperlink"/>
            <w:rFonts w:cs="Arial"/>
            <w:sz w:val="22"/>
            <w:szCs w:val="22"/>
          </w:rPr>
          <w:t>https://nottsfedwi.sharepoint.com</w:t>
        </w:r>
      </w:hyperlink>
      <w:r>
        <w:rPr>
          <w:rFonts w:cs="Arial"/>
          <w:sz w:val="22"/>
          <w:szCs w:val="22"/>
        </w:rPr>
        <w:t>. Press enter.</w:t>
      </w:r>
    </w:p>
    <w:p w14:paraId="6971BB3F" w14:textId="77777777" w:rsidR="00D63D0F" w:rsidRPr="00D63D0F" w:rsidRDefault="00D63D0F" w:rsidP="00D63D0F">
      <w:p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</w:p>
    <w:p w14:paraId="54652402" w14:textId="0DC3128B" w:rsidR="00D63D0F" w:rsidRDefault="00EF2988" w:rsidP="00D63D0F">
      <w:pPr>
        <w:pStyle w:val="ListParagraph"/>
        <w:numPr>
          <w:ilvl w:val="0"/>
          <w:numId w:val="11"/>
        </w:numPr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can now see the Events Calendar showing forthcoming Federation events throughout the year.</w:t>
      </w:r>
      <w:r w:rsidR="00D63D0F">
        <w:rPr>
          <w:rFonts w:cs="Arial"/>
          <w:sz w:val="22"/>
          <w:szCs w:val="22"/>
        </w:rPr>
        <w:t xml:space="preserve">     </w:t>
      </w:r>
      <w:r w:rsidR="00D63D0F" w:rsidRPr="00D63D0F">
        <w:rPr>
          <w:rFonts w:cs="Arial"/>
          <w:sz w:val="22"/>
          <w:szCs w:val="22"/>
        </w:rPr>
        <w:t xml:space="preserve">At the top of the page you can click on “Events and Application Forms” to see any enclosures which have been sent out. We will be adding </w:t>
      </w:r>
      <w:r w:rsidR="00D63D0F">
        <w:rPr>
          <w:rFonts w:cs="Arial"/>
          <w:sz w:val="22"/>
          <w:szCs w:val="22"/>
        </w:rPr>
        <w:t xml:space="preserve">further items </w:t>
      </w:r>
      <w:r w:rsidR="00D63D0F" w:rsidRPr="00D63D0F">
        <w:rPr>
          <w:rFonts w:cs="Arial"/>
          <w:sz w:val="22"/>
          <w:szCs w:val="22"/>
        </w:rPr>
        <w:t>to the “WI Information” section</w:t>
      </w:r>
      <w:r w:rsidR="00D63D0F">
        <w:rPr>
          <w:rFonts w:cs="Arial"/>
          <w:sz w:val="22"/>
          <w:szCs w:val="22"/>
        </w:rPr>
        <w:t>.</w:t>
      </w:r>
    </w:p>
    <w:p w14:paraId="33FF4B0C" w14:textId="77777777" w:rsidR="009947E2" w:rsidRPr="009947E2" w:rsidRDefault="009947E2" w:rsidP="009947E2">
      <w:pPr>
        <w:pStyle w:val="ListParagraph"/>
        <w:rPr>
          <w:rFonts w:cs="Arial"/>
          <w:sz w:val="22"/>
          <w:szCs w:val="22"/>
        </w:rPr>
      </w:pPr>
    </w:p>
    <w:p w14:paraId="5E4E365B" w14:textId="4138AC90" w:rsidR="009947E2" w:rsidRPr="009947E2" w:rsidRDefault="009947E2" w:rsidP="009947E2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t>When they get to the calenda</w:t>
      </w:r>
      <w:r>
        <w:t>r p</w:t>
      </w:r>
      <w:r>
        <w:t xml:space="preserve">age there is a star and the word follow, press this and </w:t>
      </w:r>
      <w:r>
        <w:t>also bookmark</w:t>
      </w:r>
      <w:r>
        <w:t xml:space="preserve"> the</w:t>
      </w:r>
      <w:r>
        <w:t xml:space="preserve"> page with </w:t>
      </w:r>
      <w:r>
        <w:t>the star in the top right </w:t>
      </w:r>
      <w:r>
        <w:t xml:space="preserve">corner. </w:t>
      </w:r>
    </w:p>
    <w:p w14:paraId="798839D7" w14:textId="0E5607E7" w:rsidR="009947E2" w:rsidRDefault="009947E2" w:rsidP="009947E2">
      <w:pPr>
        <w:pStyle w:val="ListParagraph"/>
        <w:numPr>
          <w:ilvl w:val="0"/>
          <w:numId w:val="11"/>
        </w:numPr>
      </w:pPr>
      <w:r>
        <w:t>Doing this</w:t>
      </w:r>
      <w:r>
        <w:t xml:space="preserve"> will save </w:t>
      </w:r>
      <w:r>
        <w:t>the page so you</w:t>
      </w:r>
      <w:r>
        <w:t xml:space="preserve"> don't need to keep putting</w:t>
      </w:r>
      <w:r>
        <w:t xml:space="preserve"> the</w:t>
      </w:r>
      <w:r>
        <w:t xml:space="preserve"> password in.</w:t>
      </w:r>
    </w:p>
    <w:p w14:paraId="0FAB26E1" w14:textId="77777777" w:rsidR="009947E2" w:rsidRDefault="009947E2" w:rsidP="009947E2">
      <w:pPr>
        <w:pStyle w:val="ListParagraph"/>
        <w:tabs>
          <w:tab w:val="left" w:pos="1701"/>
          <w:tab w:val="left" w:pos="2268"/>
        </w:tabs>
        <w:jc w:val="both"/>
        <w:rPr>
          <w:rFonts w:cs="Arial"/>
          <w:sz w:val="22"/>
          <w:szCs w:val="22"/>
        </w:rPr>
      </w:pPr>
    </w:p>
    <w:p w14:paraId="25565983" w14:textId="348CCFE2" w:rsidR="00D63D0F" w:rsidRPr="00D63D0F" w:rsidRDefault="00D63D0F" w:rsidP="007B7CE1">
      <w:pPr>
        <w:pStyle w:val="ListParagraph"/>
        <w:jc w:val="center"/>
        <w:rPr>
          <w:rFonts w:cs="Arial"/>
          <w:sz w:val="22"/>
          <w:szCs w:val="22"/>
        </w:rPr>
      </w:pPr>
    </w:p>
    <w:p w14:paraId="03E312DD" w14:textId="6570D95B" w:rsidR="00D63D0F" w:rsidRPr="00ED3FAE" w:rsidRDefault="00D63D0F" w:rsidP="0019521B">
      <w:pPr>
        <w:tabs>
          <w:tab w:val="left" w:pos="1701"/>
          <w:tab w:val="left" w:pos="2268"/>
        </w:tabs>
        <w:rPr>
          <w:rFonts w:cs="Arial"/>
          <w:szCs w:val="24"/>
        </w:rPr>
      </w:pPr>
      <w:r w:rsidRPr="00ED3FAE">
        <w:rPr>
          <w:rFonts w:cs="Arial"/>
          <w:szCs w:val="24"/>
        </w:rPr>
        <w:t>We hope you will find this a useful additional reference tool.</w:t>
      </w:r>
    </w:p>
    <w:p w14:paraId="42497B31" w14:textId="5F5EF78B" w:rsidR="00683E71" w:rsidRDefault="00683E71" w:rsidP="002C394E">
      <w:pPr>
        <w:rPr>
          <w:rFonts w:ascii="Arial Narrow" w:hAnsi="Arial Narrow" w:cs="Arial"/>
          <w:b/>
          <w:szCs w:val="24"/>
        </w:rPr>
      </w:pPr>
    </w:p>
    <w:p w14:paraId="6940E3D5" w14:textId="1579D727" w:rsidR="002C394E" w:rsidRDefault="002C394E" w:rsidP="004252CA">
      <w:pPr>
        <w:rPr>
          <w:rFonts w:cs="Arial"/>
          <w:sz w:val="22"/>
          <w:szCs w:val="22"/>
        </w:rPr>
      </w:pPr>
    </w:p>
    <w:sectPr w:rsidR="002C394E" w:rsidSect="00C93293">
      <w:type w:val="continuous"/>
      <w:pgSz w:w="11909" w:h="16834" w:code="9"/>
      <w:pgMar w:top="357" w:right="833" w:bottom="28" w:left="992" w:header="709" w:footer="27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86AC" w14:textId="77777777" w:rsidR="00031D52" w:rsidRDefault="00031D52">
      <w:r>
        <w:separator/>
      </w:r>
    </w:p>
  </w:endnote>
  <w:endnote w:type="continuationSeparator" w:id="0">
    <w:p w14:paraId="6C6986AD" w14:textId="77777777" w:rsidR="00031D52" w:rsidRDefault="0003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86AA" w14:textId="77777777" w:rsidR="00031D52" w:rsidRDefault="00031D52">
      <w:r>
        <w:separator/>
      </w:r>
    </w:p>
  </w:footnote>
  <w:footnote w:type="continuationSeparator" w:id="0">
    <w:p w14:paraId="6C6986AB" w14:textId="77777777" w:rsidR="00031D52" w:rsidRDefault="0003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AE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CA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A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9A8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025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C6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E5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64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90F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C9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534A0"/>
    <w:multiLevelType w:val="hybridMultilevel"/>
    <w:tmpl w:val="A87C4180"/>
    <w:lvl w:ilvl="0" w:tplc="3852FA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1"/>
    <w:rsid w:val="00001FD6"/>
    <w:rsid w:val="000054E7"/>
    <w:rsid w:val="00006733"/>
    <w:rsid w:val="00031D52"/>
    <w:rsid w:val="00035FF3"/>
    <w:rsid w:val="00040CF2"/>
    <w:rsid w:val="00054DFD"/>
    <w:rsid w:val="00055632"/>
    <w:rsid w:val="00056CF4"/>
    <w:rsid w:val="0007144C"/>
    <w:rsid w:val="0008212D"/>
    <w:rsid w:val="00093671"/>
    <w:rsid w:val="00097EFF"/>
    <w:rsid w:val="000A59CE"/>
    <w:rsid w:val="000A5A48"/>
    <w:rsid w:val="000A78C7"/>
    <w:rsid w:val="000B3722"/>
    <w:rsid w:val="000C614C"/>
    <w:rsid w:val="000D3241"/>
    <w:rsid w:val="000D33B8"/>
    <w:rsid w:val="000E6F01"/>
    <w:rsid w:val="000F561A"/>
    <w:rsid w:val="000F6A2B"/>
    <w:rsid w:val="000F7432"/>
    <w:rsid w:val="00131D41"/>
    <w:rsid w:val="00141C80"/>
    <w:rsid w:val="001479BC"/>
    <w:rsid w:val="001635B2"/>
    <w:rsid w:val="00173579"/>
    <w:rsid w:val="00173B50"/>
    <w:rsid w:val="00180601"/>
    <w:rsid w:val="0018491C"/>
    <w:rsid w:val="00186944"/>
    <w:rsid w:val="00187C4F"/>
    <w:rsid w:val="001914B9"/>
    <w:rsid w:val="0019521B"/>
    <w:rsid w:val="001A5E5F"/>
    <w:rsid w:val="001B3E69"/>
    <w:rsid w:val="001E045E"/>
    <w:rsid w:val="002015A7"/>
    <w:rsid w:val="00205C81"/>
    <w:rsid w:val="00221D11"/>
    <w:rsid w:val="002568A0"/>
    <w:rsid w:val="00261A8B"/>
    <w:rsid w:val="00265059"/>
    <w:rsid w:val="002739E8"/>
    <w:rsid w:val="002947AB"/>
    <w:rsid w:val="002A48FE"/>
    <w:rsid w:val="002A5157"/>
    <w:rsid w:val="002A7312"/>
    <w:rsid w:val="002B7F3E"/>
    <w:rsid w:val="002C35CC"/>
    <w:rsid w:val="002C394E"/>
    <w:rsid w:val="002C6842"/>
    <w:rsid w:val="002D0669"/>
    <w:rsid w:val="002D4E1A"/>
    <w:rsid w:val="002F75D0"/>
    <w:rsid w:val="00326E10"/>
    <w:rsid w:val="003540A2"/>
    <w:rsid w:val="00357B49"/>
    <w:rsid w:val="00382701"/>
    <w:rsid w:val="00387710"/>
    <w:rsid w:val="00391D8E"/>
    <w:rsid w:val="003A5A56"/>
    <w:rsid w:val="003B340A"/>
    <w:rsid w:val="003B50EE"/>
    <w:rsid w:val="003F30F1"/>
    <w:rsid w:val="003F5E91"/>
    <w:rsid w:val="004008AD"/>
    <w:rsid w:val="00405DC3"/>
    <w:rsid w:val="004211CF"/>
    <w:rsid w:val="00421F4F"/>
    <w:rsid w:val="004247E4"/>
    <w:rsid w:val="004252CA"/>
    <w:rsid w:val="00431FCE"/>
    <w:rsid w:val="00434D65"/>
    <w:rsid w:val="004360AE"/>
    <w:rsid w:val="00446D7D"/>
    <w:rsid w:val="00452FA3"/>
    <w:rsid w:val="00457FA2"/>
    <w:rsid w:val="004727C8"/>
    <w:rsid w:val="004A195F"/>
    <w:rsid w:val="004B0FF2"/>
    <w:rsid w:val="004C429E"/>
    <w:rsid w:val="004C4F74"/>
    <w:rsid w:val="00525400"/>
    <w:rsid w:val="00537ABF"/>
    <w:rsid w:val="0056066E"/>
    <w:rsid w:val="0056198F"/>
    <w:rsid w:val="005B3E04"/>
    <w:rsid w:val="005E50F1"/>
    <w:rsid w:val="005F7A7B"/>
    <w:rsid w:val="006021EE"/>
    <w:rsid w:val="006312B0"/>
    <w:rsid w:val="0066268B"/>
    <w:rsid w:val="00673E80"/>
    <w:rsid w:val="00680071"/>
    <w:rsid w:val="00683E71"/>
    <w:rsid w:val="006867FC"/>
    <w:rsid w:val="00691341"/>
    <w:rsid w:val="00692F26"/>
    <w:rsid w:val="006A54A4"/>
    <w:rsid w:val="006A6B2E"/>
    <w:rsid w:val="006D59BD"/>
    <w:rsid w:val="006D6849"/>
    <w:rsid w:val="006E0181"/>
    <w:rsid w:val="006E37B0"/>
    <w:rsid w:val="007152FF"/>
    <w:rsid w:val="00717DF2"/>
    <w:rsid w:val="007223B1"/>
    <w:rsid w:val="00725E9A"/>
    <w:rsid w:val="007444B2"/>
    <w:rsid w:val="00761472"/>
    <w:rsid w:val="00775BD3"/>
    <w:rsid w:val="007A0CFF"/>
    <w:rsid w:val="007B1977"/>
    <w:rsid w:val="007B5F47"/>
    <w:rsid w:val="007B7CE1"/>
    <w:rsid w:val="007C0C9A"/>
    <w:rsid w:val="007C18FC"/>
    <w:rsid w:val="007C1FB7"/>
    <w:rsid w:val="007C78C5"/>
    <w:rsid w:val="007D55FE"/>
    <w:rsid w:val="008012B0"/>
    <w:rsid w:val="008055F4"/>
    <w:rsid w:val="008222C3"/>
    <w:rsid w:val="00856A3A"/>
    <w:rsid w:val="00876DBD"/>
    <w:rsid w:val="008835CB"/>
    <w:rsid w:val="00887625"/>
    <w:rsid w:val="008919A7"/>
    <w:rsid w:val="008A6C15"/>
    <w:rsid w:val="008B6858"/>
    <w:rsid w:val="008B696F"/>
    <w:rsid w:val="008D1F72"/>
    <w:rsid w:val="008D2549"/>
    <w:rsid w:val="008D40EA"/>
    <w:rsid w:val="008E2FF4"/>
    <w:rsid w:val="008F59D7"/>
    <w:rsid w:val="00905DE6"/>
    <w:rsid w:val="00935207"/>
    <w:rsid w:val="009433BE"/>
    <w:rsid w:val="00947CE2"/>
    <w:rsid w:val="009575A7"/>
    <w:rsid w:val="00963E29"/>
    <w:rsid w:val="009751A0"/>
    <w:rsid w:val="009760CA"/>
    <w:rsid w:val="009947E2"/>
    <w:rsid w:val="009C488A"/>
    <w:rsid w:val="009D0CC6"/>
    <w:rsid w:val="009E0978"/>
    <w:rsid w:val="009E0DB5"/>
    <w:rsid w:val="009E5D17"/>
    <w:rsid w:val="00A10479"/>
    <w:rsid w:val="00A24E8D"/>
    <w:rsid w:val="00A60A6F"/>
    <w:rsid w:val="00A63A6C"/>
    <w:rsid w:val="00A64FDE"/>
    <w:rsid w:val="00A87D33"/>
    <w:rsid w:val="00A92694"/>
    <w:rsid w:val="00AA088E"/>
    <w:rsid w:val="00AA7EAF"/>
    <w:rsid w:val="00AD05E0"/>
    <w:rsid w:val="00AD2453"/>
    <w:rsid w:val="00AF5306"/>
    <w:rsid w:val="00B26870"/>
    <w:rsid w:val="00B4102E"/>
    <w:rsid w:val="00B50631"/>
    <w:rsid w:val="00B94874"/>
    <w:rsid w:val="00BC5577"/>
    <w:rsid w:val="00BE014F"/>
    <w:rsid w:val="00C221AB"/>
    <w:rsid w:val="00C2677D"/>
    <w:rsid w:val="00C35FC9"/>
    <w:rsid w:val="00C41E36"/>
    <w:rsid w:val="00C876EE"/>
    <w:rsid w:val="00C93293"/>
    <w:rsid w:val="00CD3201"/>
    <w:rsid w:val="00CD4007"/>
    <w:rsid w:val="00CD61EE"/>
    <w:rsid w:val="00CE2DED"/>
    <w:rsid w:val="00CE39F9"/>
    <w:rsid w:val="00D224DB"/>
    <w:rsid w:val="00D27FA7"/>
    <w:rsid w:val="00D37FBD"/>
    <w:rsid w:val="00D43788"/>
    <w:rsid w:val="00D56CAB"/>
    <w:rsid w:val="00D618D5"/>
    <w:rsid w:val="00D63D0F"/>
    <w:rsid w:val="00D67848"/>
    <w:rsid w:val="00D67899"/>
    <w:rsid w:val="00D74DC3"/>
    <w:rsid w:val="00D80973"/>
    <w:rsid w:val="00D82797"/>
    <w:rsid w:val="00DA1A0F"/>
    <w:rsid w:val="00DB0789"/>
    <w:rsid w:val="00DB6FE2"/>
    <w:rsid w:val="00DF3D9A"/>
    <w:rsid w:val="00DF7100"/>
    <w:rsid w:val="00E008FA"/>
    <w:rsid w:val="00E43953"/>
    <w:rsid w:val="00E57528"/>
    <w:rsid w:val="00E65DE3"/>
    <w:rsid w:val="00E86EA5"/>
    <w:rsid w:val="00E87DE9"/>
    <w:rsid w:val="00E91250"/>
    <w:rsid w:val="00EA2A47"/>
    <w:rsid w:val="00EB3C54"/>
    <w:rsid w:val="00EC3F8A"/>
    <w:rsid w:val="00ED3FAE"/>
    <w:rsid w:val="00EE6C47"/>
    <w:rsid w:val="00EF1151"/>
    <w:rsid w:val="00EF2988"/>
    <w:rsid w:val="00F03996"/>
    <w:rsid w:val="00F0449E"/>
    <w:rsid w:val="00F20AC3"/>
    <w:rsid w:val="00F21EF3"/>
    <w:rsid w:val="00F36C39"/>
    <w:rsid w:val="00F4480E"/>
    <w:rsid w:val="00F52F42"/>
    <w:rsid w:val="00F537D3"/>
    <w:rsid w:val="00F6408E"/>
    <w:rsid w:val="00F76F95"/>
    <w:rsid w:val="00F874EC"/>
    <w:rsid w:val="00F973F3"/>
    <w:rsid w:val="00FB30A3"/>
    <w:rsid w:val="00FB35B9"/>
    <w:rsid w:val="00FD6B89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98670"/>
  <w15:docId w15:val="{9FA51CAA-51E2-4D57-B7B1-B779EA5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ottsfedwi.sharepoin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mbers@nottswi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0" ma:contentTypeDescription="Create a new document." ma:contentTypeScope="" ma:versionID="164a5d0830a9bdb06f04d8daf34c767a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93fefcb7917ebea9fe695b6ddb2e5969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1EA-0120-4E79-98FB-F494A3D27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A06D2-D682-4D91-AD98-C9E264F18931}">
  <ds:schemaRefs>
    <ds:schemaRef ds:uri="http://purl.org/dc/dcmitype/"/>
    <ds:schemaRef ds:uri="ac47434e-c14b-4916-8332-ad17f4f187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910a527-5153-4074-b2b6-a7bdb06d1b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979CC6-5DF4-4B86-B271-D14E1A803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C9D84-4CF3-44DE-97D7-BF6998AE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FEDERATION OF WOMEN’S INSTITUTES</vt:lpstr>
    </vt:vector>
  </TitlesOfParts>
  <Company>Nottinghamshire Federation of Women's Institutes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FEDERATION OF WOMEN’S INSTITUTES</dc:title>
  <dc:creator>.</dc:creator>
  <cp:lastModifiedBy>Sue Sanderson</cp:lastModifiedBy>
  <cp:revision>7</cp:revision>
  <cp:lastPrinted>2018-10-24T12:45:00Z</cp:lastPrinted>
  <dcterms:created xsi:type="dcterms:W3CDTF">2019-02-05T14:56:00Z</dcterms:created>
  <dcterms:modified xsi:type="dcterms:W3CDTF">2019-02-05T15:31:00Z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AuthorIds_UIVersion_1024">
    <vt:lpwstr>33</vt:lpwstr>
  </property>
</Properties>
</file>