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8377" w14:textId="41941415" w:rsidR="0024529B" w:rsidRPr="00D22A7A" w:rsidRDefault="00674193" w:rsidP="0034276B">
      <w:pPr>
        <w:jc w:val="center"/>
        <w:rPr>
          <w:rFonts w:asciiTheme="minorHAnsi" w:hAnsiTheme="minorHAnsi" w:cstheme="minorHAnsi"/>
          <w:sz w:val="28"/>
          <w:szCs w:val="28"/>
        </w:rPr>
      </w:pPr>
      <w:r w:rsidRPr="00D22A7A">
        <w:rPr>
          <w:rFonts w:asciiTheme="minorHAnsi" w:hAnsiTheme="minorHAnsi" w:cstheme="minorHAnsi"/>
          <w:b/>
          <w:sz w:val="28"/>
          <w:szCs w:val="28"/>
          <w:u w:val="single"/>
        </w:rPr>
        <w:t xml:space="preserve">NOTTINGHAMSHIRE </w:t>
      </w:r>
      <w:r w:rsidR="005D2BFA" w:rsidRPr="00D22A7A">
        <w:rPr>
          <w:rFonts w:asciiTheme="minorHAnsi" w:hAnsiTheme="minorHAnsi" w:cstheme="minorHAnsi"/>
          <w:b/>
          <w:sz w:val="28"/>
          <w:szCs w:val="28"/>
          <w:u w:val="single"/>
        </w:rPr>
        <w:t>FEDERATION OF WIs</w:t>
      </w:r>
      <w:r w:rsidR="001F0C42" w:rsidRPr="00D22A7A"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="00C84B8E" w:rsidRPr="00D22A7A">
        <w:rPr>
          <w:rFonts w:asciiTheme="minorHAnsi" w:hAnsiTheme="minorHAnsi" w:cstheme="minorHAnsi"/>
          <w:b/>
          <w:sz w:val="28"/>
          <w:szCs w:val="28"/>
          <w:u w:val="single"/>
        </w:rPr>
        <w:t>202</w:t>
      </w:r>
      <w:r w:rsidR="00D27CA8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EC26F5" w:rsidRPr="00D22A7A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D27CA8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="004E67AB" w:rsidRPr="00D22A7A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1F0C42" w:rsidRPr="00D22A7A">
        <w:rPr>
          <w:rFonts w:asciiTheme="minorHAnsi" w:hAnsiTheme="minorHAnsi" w:cstheme="minorHAnsi"/>
          <w:b/>
          <w:sz w:val="28"/>
          <w:szCs w:val="28"/>
          <w:u w:val="single"/>
        </w:rPr>
        <w:t>MEMBERSHIP FEES</w:t>
      </w:r>
      <w:r w:rsidR="001F0C42" w:rsidRPr="00D22A7A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</w:t>
      </w:r>
    </w:p>
    <w:p w14:paraId="33F5DA4E" w14:textId="77777777" w:rsidR="00674193" w:rsidRPr="0034657C" w:rsidRDefault="006741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0D8A9D" w14:textId="20B01CCF" w:rsidR="00CD6B62" w:rsidRDefault="00674193">
      <w:pPr>
        <w:jc w:val="both"/>
        <w:rPr>
          <w:rFonts w:asciiTheme="minorHAnsi" w:hAnsiTheme="minorHAnsi" w:cstheme="minorHAnsi"/>
          <w:szCs w:val="24"/>
        </w:rPr>
      </w:pPr>
      <w:r w:rsidRPr="00D1322A">
        <w:rPr>
          <w:rFonts w:asciiTheme="minorHAnsi" w:hAnsiTheme="minorHAnsi" w:cstheme="minorHAnsi"/>
          <w:szCs w:val="24"/>
        </w:rPr>
        <w:t xml:space="preserve">Membership fees </w:t>
      </w:r>
      <w:r w:rsidR="004E67AB" w:rsidRPr="00D1322A">
        <w:rPr>
          <w:rFonts w:asciiTheme="minorHAnsi" w:hAnsiTheme="minorHAnsi" w:cstheme="minorHAnsi"/>
          <w:szCs w:val="24"/>
        </w:rPr>
        <w:t xml:space="preserve">for </w:t>
      </w:r>
      <w:r w:rsidR="00EC26F5" w:rsidRPr="00D1322A">
        <w:rPr>
          <w:rFonts w:asciiTheme="minorHAnsi" w:hAnsiTheme="minorHAnsi" w:cstheme="minorHAnsi"/>
          <w:szCs w:val="24"/>
        </w:rPr>
        <w:t>April 202</w:t>
      </w:r>
      <w:r w:rsidR="0084640F">
        <w:rPr>
          <w:rFonts w:asciiTheme="minorHAnsi" w:hAnsiTheme="minorHAnsi" w:cstheme="minorHAnsi"/>
          <w:szCs w:val="24"/>
        </w:rPr>
        <w:t>5</w:t>
      </w:r>
      <w:r w:rsidR="00EC26F5" w:rsidRPr="00D1322A">
        <w:rPr>
          <w:rFonts w:asciiTheme="minorHAnsi" w:hAnsiTheme="minorHAnsi" w:cstheme="minorHAnsi"/>
          <w:szCs w:val="24"/>
        </w:rPr>
        <w:t xml:space="preserve"> to March 202</w:t>
      </w:r>
      <w:r w:rsidR="0084640F">
        <w:rPr>
          <w:rFonts w:asciiTheme="minorHAnsi" w:hAnsiTheme="minorHAnsi" w:cstheme="minorHAnsi"/>
          <w:szCs w:val="24"/>
        </w:rPr>
        <w:t>6</w:t>
      </w:r>
      <w:r w:rsidR="00EC26F5" w:rsidRPr="00D1322A">
        <w:rPr>
          <w:rFonts w:asciiTheme="minorHAnsi" w:hAnsiTheme="minorHAnsi" w:cstheme="minorHAnsi"/>
          <w:szCs w:val="24"/>
        </w:rPr>
        <w:t xml:space="preserve"> are due for payment </w:t>
      </w:r>
      <w:r w:rsidRPr="00D1322A">
        <w:rPr>
          <w:rFonts w:asciiTheme="minorHAnsi" w:hAnsiTheme="minorHAnsi" w:cstheme="minorHAnsi"/>
          <w:b/>
          <w:szCs w:val="24"/>
          <w:u w:val="single"/>
        </w:rPr>
        <w:t xml:space="preserve">by </w:t>
      </w:r>
      <w:r w:rsidR="008C5C6A" w:rsidRPr="00D1322A">
        <w:rPr>
          <w:rFonts w:asciiTheme="minorHAnsi" w:hAnsiTheme="minorHAnsi" w:cstheme="minorHAnsi"/>
          <w:b/>
          <w:szCs w:val="24"/>
          <w:u w:val="single"/>
        </w:rPr>
        <w:t xml:space="preserve">Monday </w:t>
      </w:r>
      <w:r w:rsidR="00BC6CB6">
        <w:rPr>
          <w:rFonts w:asciiTheme="minorHAnsi" w:hAnsiTheme="minorHAnsi" w:cstheme="minorHAnsi"/>
          <w:b/>
          <w:szCs w:val="24"/>
          <w:u w:val="single"/>
        </w:rPr>
        <w:t>1</w:t>
      </w:r>
      <w:r w:rsidR="006E70FF">
        <w:rPr>
          <w:rFonts w:asciiTheme="minorHAnsi" w:hAnsiTheme="minorHAnsi" w:cstheme="minorHAnsi"/>
          <w:b/>
          <w:szCs w:val="24"/>
          <w:u w:val="single"/>
        </w:rPr>
        <w:t>9</w:t>
      </w:r>
      <w:r w:rsidR="00953C5F" w:rsidRPr="00D1322A">
        <w:rPr>
          <w:rFonts w:asciiTheme="minorHAnsi" w:hAnsiTheme="minorHAnsi" w:cstheme="minorHAnsi"/>
          <w:b/>
          <w:szCs w:val="24"/>
          <w:u w:val="single"/>
        </w:rPr>
        <w:t xml:space="preserve"> May</w:t>
      </w:r>
      <w:r w:rsidR="00B17F27" w:rsidRPr="00D1322A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C5C6A" w:rsidRPr="00D1322A">
        <w:rPr>
          <w:rFonts w:asciiTheme="minorHAnsi" w:hAnsiTheme="minorHAnsi" w:cstheme="minorHAnsi"/>
          <w:b/>
          <w:szCs w:val="24"/>
          <w:u w:val="single"/>
        </w:rPr>
        <w:t>202</w:t>
      </w:r>
      <w:r w:rsidR="006E70FF">
        <w:rPr>
          <w:rFonts w:asciiTheme="minorHAnsi" w:hAnsiTheme="minorHAnsi" w:cstheme="minorHAnsi"/>
          <w:b/>
          <w:szCs w:val="24"/>
          <w:u w:val="single"/>
        </w:rPr>
        <w:t>5</w:t>
      </w:r>
      <w:r w:rsidRPr="00D1322A">
        <w:rPr>
          <w:rFonts w:asciiTheme="minorHAnsi" w:hAnsiTheme="minorHAnsi" w:cstheme="minorHAnsi"/>
          <w:szCs w:val="24"/>
        </w:rPr>
        <w:t xml:space="preserve">. </w:t>
      </w:r>
    </w:p>
    <w:p w14:paraId="63223F97" w14:textId="5D9ECDED" w:rsidR="00E12A8C" w:rsidRPr="00D1322A" w:rsidRDefault="00CD6B62">
      <w:pPr>
        <w:jc w:val="both"/>
        <w:rPr>
          <w:rFonts w:asciiTheme="minorHAnsi" w:hAnsiTheme="minorHAnsi" w:cstheme="minorHAnsi"/>
          <w:szCs w:val="24"/>
        </w:rPr>
      </w:pPr>
      <w:r w:rsidRPr="00D1322A">
        <w:rPr>
          <w:rFonts w:asciiTheme="minorHAnsi" w:hAnsiTheme="minorHAnsi" w:cstheme="minorHAnsi"/>
          <w:szCs w:val="24"/>
        </w:rPr>
        <w:t>Details of payment</w:t>
      </w:r>
      <w:r w:rsidR="004630CF">
        <w:rPr>
          <w:rFonts w:asciiTheme="minorHAnsi" w:hAnsiTheme="minorHAnsi" w:cstheme="minorHAnsi"/>
          <w:szCs w:val="24"/>
        </w:rPr>
        <w:t>s due</w:t>
      </w:r>
      <w:r w:rsidRPr="00D1322A">
        <w:rPr>
          <w:rFonts w:asciiTheme="minorHAnsi" w:hAnsiTheme="minorHAnsi" w:cstheme="minorHAnsi"/>
          <w:szCs w:val="24"/>
        </w:rPr>
        <w:t xml:space="preserve"> are given below.</w:t>
      </w:r>
      <w:r>
        <w:rPr>
          <w:rFonts w:asciiTheme="minorHAnsi" w:hAnsiTheme="minorHAnsi" w:cstheme="minorHAnsi"/>
          <w:szCs w:val="24"/>
        </w:rPr>
        <w:t xml:space="preserve"> </w:t>
      </w:r>
      <w:r w:rsidR="00674193" w:rsidRPr="00D1322A">
        <w:rPr>
          <w:rFonts w:asciiTheme="minorHAnsi" w:hAnsiTheme="minorHAnsi" w:cstheme="minorHAnsi"/>
          <w:szCs w:val="24"/>
        </w:rPr>
        <w:t>Please note that only one cheque should be made out for all the monies due.</w:t>
      </w:r>
      <w:r w:rsidR="003B3032" w:rsidRPr="00D1322A">
        <w:rPr>
          <w:rFonts w:asciiTheme="minorHAnsi" w:hAnsiTheme="minorHAnsi" w:cstheme="minorHAnsi"/>
          <w:szCs w:val="24"/>
        </w:rPr>
        <w:t xml:space="preserve"> </w:t>
      </w:r>
      <w:r w:rsidR="009912DF" w:rsidRPr="00D1322A">
        <w:rPr>
          <w:rFonts w:asciiTheme="minorHAnsi" w:hAnsiTheme="minorHAnsi" w:cstheme="minorHAnsi"/>
          <w:szCs w:val="24"/>
        </w:rPr>
        <w:t xml:space="preserve">You may pay by BACS if </w:t>
      </w:r>
      <w:r w:rsidR="00E60B8A" w:rsidRPr="00D1322A">
        <w:rPr>
          <w:rFonts w:asciiTheme="minorHAnsi" w:hAnsiTheme="minorHAnsi" w:cstheme="minorHAnsi"/>
          <w:szCs w:val="24"/>
        </w:rPr>
        <w:t>you wish</w:t>
      </w:r>
      <w:r>
        <w:rPr>
          <w:rFonts w:asciiTheme="minorHAnsi" w:hAnsiTheme="minorHAnsi" w:cstheme="minorHAnsi"/>
          <w:szCs w:val="24"/>
        </w:rPr>
        <w:t xml:space="preserve"> using </w:t>
      </w:r>
      <w:r w:rsidR="00C72D6F">
        <w:rPr>
          <w:rFonts w:asciiTheme="minorHAnsi" w:hAnsiTheme="minorHAnsi" w:cstheme="minorHAnsi"/>
          <w:szCs w:val="24"/>
        </w:rPr>
        <w:t>r</w:t>
      </w:r>
      <w:r w:rsidR="00A103E8">
        <w:rPr>
          <w:rFonts w:asciiTheme="minorHAnsi" w:hAnsiTheme="minorHAnsi" w:cstheme="minorHAnsi"/>
          <w:szCs w:val="24"/>
        </w:rPr>
        <w:t>ef: SUBS</w:t>
      </w:r>
      <w:r>
        <w:rPr>
          <w:rFonts w:asciiTheme="minorHAnsi" w:hAnsiTheme="minorHAnsi" w:cstheme="minorHAnsi"/>
          <w:szCs w:val="24"/>
        </w:rPr>
        <w:t>2</w:t>
      </w:r>
      <w:r w:rsidR="006F3B21">
        <w:rPr>
          <w:rFonts w:asciiTheme="minorHAnsi" w:hAnsiTheme="minorHAnsi" w:cstheme="minorHAnsi"/>
          <w:szCs w:val="24"/>
        </w:rPr>
        <w:t>5</w:t>
      </w:r>
    </w:p>
    <w:p w14:paraId="2900F27C" w14:textId="405E7481" w:rsidR="00F246FD" w:rsidRPr="00D1322A" w:rsidRDefault="00841274" w:rsidP="00F246FD">
      <w:pPr>
        <w:jc w:val="both"/>
        <w:rPr>
          <w:rFonts w:asciiTheme="minorHAnsi" w:hAnsiTheme="minorHAnsi" w:cstheme="minorHAnsi"/>
          <w:szCs w:val="24"/>
        </w:rPr>
      </w:pPr>
      <w:r w:rsidRPr="00D1322A">
        <w:rPr>
          <w:rFonts w:asciiTheme="minorHAnsi" w:hAnsiTheme="minorHAnsi" w:cstheme="minorHAnsi"/>
          <w:b/>
          <w:szCs w:val="24"/>
        </w:rPr>
        <w:t>National req</w:t>
      </w:r>
      <w:r w:rsidR="001053AB" w:rsidRPr="00D1322A">
        <w:rPr>
          <w:rFonts w:asciiTheme="minorHAnsi" w:hAnsiTheme="minorHAnsi" w:cstheme="minorHAnsi"/>
          <w:b/>
          <w:szCs w:val="24"/>
        </w:rPr>
        <w:t xml:space="preserve">uires the Federation to </w:t>
      </w:r>
      <w:r w:rsidR="009912DF" w:rsidRPr="00D1322A">
        <w:rPr>
          <w:rFonts w:asciiTheme="minorHAnsi" w:hAnsiTheme="minorHAnsi" w:cstheme="minorHAnsi"/>
          <w:b/>
          <w:szCs w:val="24"/>
        </w:rPr>
        <w:t xml:space="preserve">transfer </w:t>
      </w:r>
      <w:r w:rsidR="005F3690">
        <w:rPr>
          <w:rFonts w:asciiTheme="minorHAnsi" w:hAnsiTheme="minorHAnsi" w:cstheme="minorHAnsi"/>
          <w:b/>
          <w:szCs w:val="24"/>
        </w:rPr>
        <w:t xml:space="preserve">payments </w:t>
      </w:r>
      <w:r w:rsidRPr="00D1322A">
        <w:rPr>
          <w:rFonts w:asciiTheme="minorHAnsi" w:hAnsiTheme="minorHAnsi" w:cstheme="minorHAnsi"/>
          <w:b/>
          <w:szCs w:val="24"/>
        </w:rPr>
        <w:t>to them by their deadline so it is imperative that we receive your monies on time.</w:t>
      </w:r>
      <w:r w:rsidRPr="00D1322A">
        <w:rPr>
          <w:rFonts w:asciiTheme="minorHAnsi" w:hAnsiTheme="minorHAnsi" w:cstheme="minorHAnsi"/>
          <w:szCs w:val="24"/>
        </w:rPr>
        <w:t xml:space="preserve">  </w:t>
      </w:r>
      <w:r w:rsidR="001F3895" w:rsidRPr="00D1322A">
        <w:rPr>
          <w:rFonts w:asciiTheme="minorHAnsi" w:hAnsiTheme="minorHAnsi" w:cstheme="minorHAnsi"/>
          <w:szCs w:val="24"/>
        </w:rPr>
        <w:t>Thank you.</w:t>
      </w:r>
      <w:r w:rsidR="00BD3E27" w:rsidRPr="00D1322A">
        <w:rPr>
          <w:rFonts w:asciiTheme="minorHAnsi" w:hAnsiTheme="minorHAnsi" w:cstheme="minorHAnsi"/>
          <w:szCs w:val="24"/>
        </w:rPr>
        <w:t xml:space="preserve"> </w:t>
      </w:r>
      <w:r w:rsidR="00053F55" w:rsidRPr="00D1322A">
        <w:rPr>
          <w:rFonts w:asciiTheme="minorHAnsi" w:hAnsiTheme="minorHAnsi" w:cstheme="minorHAnsi"/>
          <w:b/>
          <w:szCs w:val="24"/>
        </w:rPr>
        <w:t xml:space="preserve">The top section </w:t>
      </w:r>
      <w:r w:rsidR="00631DEB" w:rsidRPr="00D1322A">
        <w:rPr>
          <w:rFonts w:asciiTheme="minorHAnsi" w:hAnsiTheme="minorHAnsi" w:cstheme="minorHAnsi"/>
          <w:b/>
          <w:szCs w:val="24"/>
        </w:rPr>
        <w:t xml:space="preserve">is </w:t>
      </w:r>
      <w:r w:rsidR="00053F55" w:rsidRPr="00D1322A">
        <w:rPr>
          <w:rFonts w:asciiTheme="minorHAnsi" w:hAnsiTheme="minorHAnsi" w:cstheme="minorHAnsi"/>
          <w:b/>
          <w:szCs w:val="24"/>
        </w:rPr>
        <w:t>for your records</w:t>
      </w:r>
      <w:r w:rsidR="00053F55" w:rsidRPr="00D1322A">
        <w:rPr>
          <w:rFonts w:asciiTheme="minorHAnsi" w:hAnsiTheme="minorHAnsi" w:cstheme="minorHAnsi"/>
          <w:szCs w:val="24"/>
        </w:rPr>
        <w:t xml:space="preserve">. </w:t>
      </w:r>
      <w:r w:rsidR="00674193" w:rsidRPr="00D1322A">
        <w:rPr>
          <w:rFonts w:asciiTheme="minorHAnsi" w:hAnsiTheme="minorHAnsi" w:cstheme="minorHAnsi"/>
          <w:szCs w:val="24"/>
        </w:rPr>
        <w:t xml:space="preserve">The </w:t>
      </w:r>
      <w:r w:rsidR="004E67AB" w:rsidRPr="00D1322A">
        <w:rPr>
          <w:rFonts w:asciiTheme="minorHAnsi" w:hAnsiTheme="minorHAnsi" w:cstheme="minorHAnsi"/>
          <w:szCs w:val="24"/>
        </w:rPr>
        <w:t>tear-off section of this form should</w:t>
      </w:r>
      <w:r w:rsidR="00674193" w:rsidRPr="00D1322A">
        <w:rPr>
          <w:rFonts w:asciiTheme="minorHAnsi" w:hAnsiTheme="minorHAnsi" w:cstheme="minorHAnsi"/>
          <w:szCs w:val="24"/>
        </w:rPr>
        <w:t xml:space="preserve"> be completed and returned to us with your cheque</w:t>
      </w:r>
      <w:r w:rsidR="005F3690">
        <w:rPr>
          <w:rFonts w:asciiTheme="minorHAnsi" w:hAnsiTheme="minorHAnsi" w:cstheme="minorHAnsi"/>
          <w:szCs w:val="24"/>
        </w:rPr>
        <w:t>, or a copy emailed to admin@nottswi.org.uk</w:t>
      </w:r>
    </w:p>
    <w:p w14:paraId="073A0740" w14:textId="77777777" w:rsidR="00BD3E27" w:rsidRPr="0034657C" w:rsidRDefault="00BD3E27" w:rsidP="00F246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2A3E6" w14:textId="77777777" w:rsidR="00053F55" w:rsidRPr="0034657C" w:rsidRDefault="00C07000" w:rsidP="00053F55">
      <w:pPr>
        <w:jc w:val="both"/>
        <w:rPr>
          <w:rFonts w:asciiTheme="minorHAnsi" w:hAnsiTheme="minorHAnsi" w:cstheme="minorHAnsi"/>
          <w:sz w:val="22"/>
          <w:szCs w:val="22"/>
        </w:rPr>
      </w:pPr>
      <w:r w:rsidRPr="0034657C">
        <w:rPr>
          <w:rFonts w:asciiTheme="minorHAnsi" w:hAnsiTheme="minorHAnsi" w:cstheme="minorHAnsi"/>
          <w:sz w:val="22"/>
          <w:szCs w:val="22"/>
        </w:rPr>
        <w:t>Please keep this section for your financial records.</w:t>
      </w:r>
    </w:p>
    <w:tbl>
      <w:tblPr>
        <w:tblW w:w="10482" w:type="dxa"/>
        <w:tblLayout w:type="fixed"/>
        <w:tblLook w:val="0000" w:firstRow="0" w:lastRow="0" w:firstColumn="0" w:lastColumn="0" w:noHBand="0" w:noVBand="0"/>
      </w:tblPr>
      <w:tblGrid>
        <w:gridCol w:w="3168"/>
        <w:gridCol w:w="2070"/>
        <w:gridCol w:w="900"/>
        <w:gridCol w:w="1980"/>
        <w:gridCol w:w="2364"/>
      </w:tblGrid>
      <w:tr w:rsidR="00053F55" w:rsidRPr="0034657C" w14:paraId="23EE1D03" w14:textId="77777777" w:rsidTr="002F6CDD">
        <w:trPr>
          <w:trHeight w:val="45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4F1B" w14:textId="77777777" w:rsidR="00053F55" w:rsidRPr="0034657C" w:rsidRDefault="00053F55" w:rsidP="00FC2E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 xml:space="preserve">Membership fee to Federation: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7097" w14:textId="77777777" w:rsidR="00053F55" w:rsidRPr="0034657C" w:rsidRDefault="00053F55" w:rsidP="00FC2E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No. of full members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1CE8" w14:textId="77777777" w:rsidR="00053F55" w:rsidRPr="0034657C" w:rsidRDefault="00053F55" w:rsidP="00FC2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3160C0" w14:textId="17F861DC" w:rsidR="00053F55" w:rsidRPr="0034657C" w:rsidRDefault="00773EBB" w:rsidP="00C84B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@    £</w:t>
            </w:r>
            <w:r w:rsidR="00C84B8E" w:rsidRPr="0034657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B4399">
              <w:rPr>
                <w:rFonts w:asciiTheme="minorHAnsi" w:hAnsiTheme="minorHAnsi" w:cstheme="minorHAnsi"/>
                <w:sz w:val="22"/>
                <w:szCs w:val="22"/>
              </w:rPr>
              <w:t>2.05</w:t>
            </w:r>
            <w:r w:rsidR="00053F55" w:rsidRPr="0034657C">
              <w:rPr>
                <w:rFonts w:asciiTheme="minorHAnsi" w:hAnsiTheme="minorHAnsi" w:cstheme="minorHAnsi"/>
                <w:sz w:val="22"/>
                <w:szCs w:val="22"/>
              </w:rPr>
              <w:t xml:space="preserve"> each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FC1F" w14:textId="77777777" w:rsidR="00053F55" w:rsidRPr="0034657C" w:rsidRDefault="00053F55" w:rsidP="00FC2E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053F55" w:rsidRPr="0034657C" w14:paraId="44A54E53" w14:textId="77777777" w:rsidTr="002F6CDD">
        <w:trPr>
          <w:trHeight w:val="396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11E7" w14:textId="77777777" w:rsidR="00053F55" w:rsidRPr="0034657C" w:rsidRDefault="00053F55" w:rsidP="00FC2E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Membership fee to NFWI: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9205" w14:textId="77777777" w:rsidR="00053F55" w:rsidRPr="0034657C" w:rsidRDefault="00053F55" w:rsidP="00FC2E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No. of full members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B590" w14:textId="77777777" w:rsidR="00053F55" w:rsidRPr="0034657C" w:rsidRDefault="00053F55" w:rsidP="00FC2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CEEFA7" w14:textId="7D00E27D" w:rsidR="00053F55" w:rsidRPr="0034657C" w:rsidRDefault="00773EBB" w:rsidP="00C84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 xml:space="preserve">   @  </w:t>
            </w:r>
            <w:r w:rsidR="00C84B8E" w:rsidRPr="00346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04B8" w:rsidRPr="00346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£1</w:t>
            </w:r>
            <w:r w:rsidR="0075494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543082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3F55" w:rsidRPr="0034657C">
              <w:rPr>
                <w:rFonts w:asciiTheme="minorHAnsi" w:hAnsiTheme="minorHAnsi" w:cstheme="minorHAnsi"/>
                <w:sz w:val="22"/>
                <w:szCs w:val="22"/>
              </w:rPr>
              <w:t>each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940B" w14:textId="320EF55F" w:rsidR="00ED04B8" w:rsidRPr="0034657C" w:rsidRDefault="00053F55" w:rsidP="00ED0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D65C77" w:rsidRPr="0034657C" w14:paraId="3AF0B954" w14:textId="77777777" w:rsidTr="002F6CDD">
        <w:tc>
          <w:tcPr>
            <w:tcW w:w="3168" w:type="dxa"/>
          </w:tcPr>
          <w:p w14:paraId="7A89DD88" w14:textId="77777777" w:rsidR="00D65C77" w:rsidRPr="0034657C" w:rsidRDefault="00D65C77" w:rsidP="00D65C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604AD02" w14:textId="77777777" w:rsidR="00D65C77" w:rsidRPr="0034657C" w:rsidRDefault="00D65C77" w:rsidP="00D65C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C6DF048" w14:textId="77777777" w:rsidR="00D65C77" w:rsidRPr="0034657C" w:rsidRDefault="00D65C77" w:rsidP="00D65C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0A7C9BB" w14:textId="77777777" w:rsidR="00D65C77" w:rsidRPr="0034657C" w:rsidRDefault="00D65C77" w:rsidP="00D65C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F2E107" w14:textId="77777777" w:rsidR="00D65C77" w:rsidRPr="0034657C" w:rsidRDefault="00D65C77" w:rsidP="00D65C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BA9" w14:textId="77777777" w:rsidR="00D65C77" w:rsidRPr="0034657C" w:rsidRDefault="00D65C77" w:rsidP="00D65C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69ABCD" w14:textId="0ADEEBC8" w:rsidR="00D65C77" w:rsidRPr="0034657C" w:rsidRDefault="00D65C77" w:rsidP="00D65C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</w:tc>
      </w:tr>
    </w:tbl>
    <w:p w14:paraId="7CB620B9" w14:textId="77777777" w:rsidR="00BD3E27" w:rsidRDefault="00BD3E27" w:rsidP="00BD3E27">
      <w:pPr>
        <w:ind w:hanging="142"/>
        <w:rPr>
          <w:rFonts w:asciiTheme="minorHAnsi" w:hAnsiTheme="minorHAnsi" w:cstheme="minorHAnsi"/>
          <w:b/>
          <w:sz w:val="22"/>
          <w:szCs w:val="22"/>
        </w:rPr>
      </w:pPr>
    </w:p>
    <w:p w14:paraId="01B10C87" w14:textId="5BA504D4" w:rsidR="00BD3E27" w:rsidRDefault="00FD13D8" w:rsidP="008D5FB8">
      <w:pPr>
        <w:ind w:hanging="142"/>
        <w:rPr>
          <w:rFonts w:asciiTheme="minorHAnsi" w:hAnsiTheme="minorHAnsi"/>
          <w:bCs/>
          <w:szCs w:val="24"/>
        </w:rPr>
      </w:pPr>
      <w:r w:rsidRPr="00D1322A">
        <w:rPr>
          <w:rFonts w:asciiTheme="minorHAnsi" w:hAnsiTheme="minorHAnsi" w:cstheme="minorHAnsi"/>
          <w:b/>
          <w:szCs w:val="24"/>
        </w:rPr>
        <w:t xml:space="preserve"> </w:t>
      </w:r>
      <w:r w:rsidR="00762719" w:rsidRPr="00D1322A">
        <w:rPr>
          <w:rFonts w:asciiTheme="minorHAnsi" w:hAnsiTheme="minorHAnsi" w:cstheme="minorHAnsi"/>
          <w:b/>
          <w:szCs w:val="24"/>
        </w:rPr>
        <w:t xml:space="preserve"> </w:t>
      </w:r>
      <w:r w:rsidR="00BD3E27" w:rsidRPr="00D1322A">
        <w:rPr>
          <w:rFonts w:asciiTheme="minorHAnsi" w:hAnsiTheme="minorHAnsi"/>
          <w:b/>
          <w:szCs w:val="24"/>
        </w:rPr>
        <w:t>Pooling of Expenses</w:t>
      </w:r>
      <w:r w:rsidR="008D5FB8">
        <w:rPr>
          <w:rFonts w:asciiTheme="minorHAnsi" w:hAnsiTheme="minorHAnsi"/>
          <w:b/>
          <w:szCs w:val="24"/>
        </w:rPr>
        <w:t xml:space="preserve"> and pooling of fares </w:t>
      </w:r>
      <w:r w:rsidR="008D5FB8" w:rsidRPr="00F83586">
        <w:rPr>
          <w:rFonts w:asciiTheme="minorHAnsi" w:hAnsiTheme="minorHAnsi"/>
          <w:bCs/>
          <w:szCs w:val="24"/>
        </w:rPr>
        <w:t>will not be collected this year as the NFWI Annual Meeting takes place online only.</w:t>
      </w:r>
      <w:r w:rsidR="00BD3E27" w:rsidRPr="00F83586">
        <w:rPr>
          <w:rFonts w:asciiTheme="minorHAnsi" w:hAnsiTheme="minorHAnsi"/>
          <w:bCs/>
          <w:szCs w:val="24"/>
        </w:rPr>
        <w:t xml:space="preserve"> </w:t>
      </w:r>
    </w:p>
    <w:p w14:paraId="3DF0304F" w14:textId="77777777" w:rsidR="006717B9" w:rsidRPr="00F83586" w:rsidRDefault="006717B9" w:rsidP="008D5FB8">
      <w:pPr>
        <w:ind w:hanging="142"/>
        <w:rPr>
          <w:rFonts w:asciiTheme="minorHAnsi" w:hAnsiTheme="minorHAnsi"/>
          <w:bCs/>
          <w:szCs w:val="24"/>
        </w:rPr>
      </w:pPr>
    </w:p>
    <w:p w14:paraId="61AD708C" w14:textId="77777777" w:rsidR="00BC0DEA" w:rsidRDefault="00FD13D8" w:rsidP="00762719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322A">
        <w:rPr>
          <w:rFonts w:asciiTheme="minorHAnsi" w:hAnsiTheme="minorHAnsi" w:cstheme="minorHAnsi"/>
          <w:b/>
          <w:szCs w:val="24"/>
        </w:rPr>
        <w:t xml:space="preserve"> </w:t>
      </w:r>
      <w:r w:rsidR="00762719" w:rsidRPr="00D1322A">
        <w:rPr>
          <w:rFonts w:asciiTheme="minorHAnsi" w:hAnsiTheme="minorHAnsi" w:cstheme="minorHAnsi"/>
          <w:b/>
          <w:szCs w:val="24"/>
        </w:rPr>
        <w:t xml:space="preserve"> </w:t>
      </w:r>
      <w:r w:rsidR="002423D5" w:rsidRPr="00D1322A">
        <w:rPr>
          <w:rFonts w:asciiTheme="minorHAnsi" w:hAnsiTheme="minorHAnsi" w:cstheme="minorHAnsi"/>
          <w:b/>
          <w:szCs w:val="24"/>
        </w:rPr>
        <w:t xml:space="preserve">Dual Members </w:t>
      </w:r>
      <w:r w:rsidR="002423D5" w:rsidRPr="00D1322A">
        <w:rPr>
          <w:rFonts w:asciiTheme="minorHAnsi" w:hAnsiTheme="minorHAnsi" w:cstheme="minorHAnsi"/>
          <w:bCs/>
          <w:szCs w:val="24"/>
        </w:rPr>
        <w:t>should</w:t>
      </w:r>
      <w:r w:rsidR="00C84B8E" w:rsidRPr="00D1322A">
        <w:rPr>
          <w:rFonts w:asciiTheme="minorHAnsi" w:hAnsiTheme="minorHAnsi" w:cstheme="minorHAnsi"/>
          <w:bCs/>
          <w:szCs w:val="24"/>
        </w:rPr>
        <w:t xml:space="preserve"> pay </w:t>
      </w:r>
      <w:r w:rsidR="00976D79" w:rsidRPr="00D1322A">
        <w:rPr>
          <w:rFonts w:asciiTheme="minorHAnsi" w:hAnsiTheme="minorHAnsi" w:cstheme="minorHAnsi"/>
          <w:bCs/>
          <w:szCs w:val="24"/>
        </w:rPr>
        <w:t>their dual WI the amount agreed by the W</w:t>
      </w:r>
      <w:r w:rsidR="00032AA6" w:rsidRPr="00D1322A">
        <w:rPr>
          <w:rFonts w:asciiTheme="minorHAnsi" w:hAnsiTheme="minorHAnsi" w:cstheme="minorHAnsi"/>
          <w:bCs/>
          <w:szCs w:val="24"/>
        </w:rPr>
        <w:t>I Committee (as WI Flexibility may be implemented)</w:t>
      </w:r>
      <w:r w:rsidR="002F6CDD" w:rsidRPr="00D1322A">
        <w:rPr>
          <w:rFonts w:asciiTheme="minorHAnsi" w:hAnsiTheme="minorHAnsi" w:cstheme="minorHAnsi"/>
          <w:bCs/>
          <w:szCs w:val="24"/>
        </w:rPr>
        <w:t xml:space="preserve">. If the </w:t>
      </w:r>
      <w:r w:rsidR="00A54D6C" w:rsidRPr="00D1322A">
        <w:rPr>
          <w:rFonts w:asciiTheme="minorHAnsi" w:hAnsiTheme="minorHAnsi" w:cstheme="minorHAnsi"/>
          <w:bCs/>
          <w:szCs w:val="24"/>
        </w:rPr>
        <w:t>WI has waived their fee, the dual member pays nothing.</w:t>
      </w:r>
      <w:r w:rsidR="00C55E1E" w:rsidRPr="0034657C"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p w14:paraId="38EA89E1" w14:textId="77777777" w:rsidR="00C23E73" w:rsidRDefault="00C55E1E" w:rsidP="00762719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657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</w:t>
      </w:r>
    </w:p>
    <w:p w14:paraId="7134D093" w14:textId="77777777" w:rsidR="00C23E73" w:rsidRDefault="00C23E73" w:rsidP="00762719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482E8F" w14:textId="77777777" w:rsidR="00C23E73" w:rsidRDefault="00C23E73" w:rsidP="00762719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5887C3" w14:textId="77777777" w:rsidR="00C23E73" w:rsidRDefault="00C23E73" w:rsidP="00762719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57FA5D" w14:textId="77777777" w:rsidR="00C23E73" w:rsidRDefault="00C23E73" w:rsidP="00762719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007B04" w14:textId="77777777" w:rsidR="00C23E73" w:rsidRDefault="00C23E73" w:rsidP="00762719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A1A996" w14:textId="272C63E1" w:rsidR="00C07000" w:rsidRPr="0034657C" w:rsidRDefault="00C55E1E" w:rsidP="00762719">
      <w:pPr>
        <w:ind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657C"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  <w:r w:rsidR="001F0C42" w:rsidRPr="0034657C"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  <w:r w:rsidRPr="003465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32330D1" w14:textId="546C2E56" w:rsidR="00ED04B8" w:rsidRPr="00853C08" w:rsidRDefault="00C04EA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3C08">
        <w:rPr>
          <w:rFonts w:asciiTheme="minorHAnsi" w:hAnsiTheme="minorHAnsi" w:cstheme="minorHAnsi"/>
          <w:bCs/>
          <w:sz w:val="22"/>
          <w:szCs w:val="22"/>
        </w:rPr>
        <w:t>Please retain this top part for your records</w:t>
      </w:r>
    </w:p>
    <w:tbl>
      <w:tblPr>
        <w:tblW w:w="10490" w:type="dxa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74193" w:rsidRPr="00853C08" w14:paraId="463ADF9B" w14:textId="77777777" w:rsidTr="00894832">
        <w:tc>
          <w:tcPr>
            <w:tcW w:w="10490" w:type="dxa"/>
          </w:tcPr>
          <w:p w14:paraId="54A7FB62" w14:textId="653C3DC0" w:rsidR="00674193" w:rsidRPr="00853C08" w:rsidRDefault="002423D5" w:rsidP="002423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3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Cut here </w:t>
            </w:r>
            <w:r w:rsidR="00C04EA9" w:rsidRPr="00853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</w:t>
            </w:r>
            <w:r w:rsidR="00853C08" w:rsidRPr="00853C08">
              <w:rPr>
                <w:rFonts w:asciiTheme="minorHAnsi" w:hAnsiTheme="minorHAnsi" w:cstheme="minorHAnsi"/>
                <w:bCs/>
                <w:sz w:val="22"/>
                <w:szCs w:val="22"/>
              </w:rPr>
              <w:t>return the</w:t>
            </w:r>
            <w:r w:rsidR="00C04EA9" w:rsidRPr="00853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portion</w:t>
            </w:r>
            <w:r w:rsidR="00853C08" w:rsidRPr="00853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</w:t>
            </w:r>
          </w:p>
          <w:p w14:paraId="18A9D41B" w14:textId="1C35BD32" w:rsidR="001A29CF" w:rsidRPr="00853C08" w:rsidRDefault="001A29CF" w:rsidP="002423D5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6FB69410" w14:textId="5BA61531" w:rsidR="008426B9" w:rsidRPr="0034657C" w:rsidRDefault="008426B9" w:rsidP="008426B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4657C">
        <w:rPr>
          <w:rFonts w:asciiTheme="minorHAnsi" w:hAnsiTheme="minorHAnsi" w:cstheme="minorHAnsi"/>
          <w:b/>
          <w:sz w:val="22"/>
          <w:szCs w:val="22"/>
          <w:u w:val="single"/>
        </w:rPr>
        <w:t>MEMBERSHIP FEES 202</w:t>
      </w:r>
      <w:r w:rsidR="005B5DA9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34657C">
        <w:rPr>
          <w:rFonts w:asciiTheme="minorHAnsi" w:hAnsiTheme="minorHAnsi" w:cstheme="minorHAnsi"/>
          <w:b/>
          <w:sz w:val="22"/>
          <w:szCs w:val="22"/>
          <w:u w:val="single"/>
        </w:rPr>
        <w:t>-202</w:t>
      </w:r>
      <w:r w:rsidR="005B5DA9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</w:p>
    <w:p w14:paraId="5DBD80AC" w14:textId="77777777" w:rsidR="00674193" w:rsidRPr="0034657C" w:rsidRDefault="0067419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49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8"/>
        <w:gridCol w:w="3163"/>
        <w:gridCol w:w="2067"/>
        <w:gridCol w:w="898"/>
        <w:gridCol w:w="1977"/>
        <w:gridCol w:w="2377"/>
      </w:tblGrid>
      <w:tr w:rsidR="00674193" w:rsidRPr="0034657C" w14:paraId="7A4E86CC" w14:textId="77777777" w:rsidTr="002F6CDD">
        <w:trPr>
          <w:gridBefore w:val="1"/>
          <w:wBefore w:w="8" w:type="dxa"/>
          <w:trHeight w:val="394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2639" w14:textId="77777777" w:rsidR="00674193" w:rsidRPr="0034657C" w:rsidRDefault="009256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Membership fee to Federation</w:t>
            </w:r>
            <w:r w:rsidR="00674193" w:rsidRPr="0034657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0E53" w14:textId="77777777" w:rsidR="00674193" w:rsidRPr="0034657C" w:rsidRDefault="00674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 xml:space="preserve">No. of </w:t>
            </w:r>
            <w:r w:rsidR="008D6C3E" w:rsidRPr="0034657C"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members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7CE9" w14:textId="77777777" w:rsidR="00674193" w:rsidRPr="0034657C" w:rsidRDefault="006741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451B19" w14:textId="79D2BFC7" w:rsidR="00674193" w:rsidRPr="0034657C" w:rsidRDefault="00827712" w:rsidP="00C84B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@    £1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2.05</w:t>
            </w: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 xml:space="preserve"> each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7B71" w14:textId="77777777" w:rsidR="00674193" w:rsidRPr="0034657C" w:rsidRDefault="00674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674193" w:rsidRPr="0034657C" w14:paraId="3DC1E700" w14:textId="77777777" w:rsidTr="002F6CDD">
        <w:trPr>
          <w:gridBefore w:val="1"/>
          <w:wBefore w:w="8" w:type="dxa"/>
          <w:trHeight w:val="375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12F2" w14:textId="77777777" w:rsidR="0024529B" w:rsidRPr="0034657C" w:rsidRDefault="00B86E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Membership fee to NFWI: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60B6" w14:textId="77777777" w:rsidR="00674193" w:rsidRPr="0034657C" w:rsidRDefault="00674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 xml:space="preserve">No. of </w:t>
            </w:r>
            <w:r w:rsidR="008D6C3E" w:rsidRPr="0034657C"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members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2438" w14:textId="77777777" w:rsidR="00674193" w:rsidRPr="0034657C" w:rsidRDefault="006741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007844" w14:textId="142D8B28" w:rsidR="00674193" w:rsidRPr="0034657C" w:rsidRDefault="00674193" w:rsidP="00C84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27712" w:rsidRPr="0034657C">
              <w:rPr>
                <w:rFonts w:asciiTheme="minorHAnsi" w:hAnsiTheme="minorHAnsi" w:cstheme="minorHAnsi"/>
                <w:sz w:val="22"/>
                <w:szCs w:val="22"/>
              </w:rPr>
              <w:t>@    £1</w:t>
            </w:r>
            <w:r w:rsidR="00827712">
              <w:rPr>
                <w:rFonts w:asciiTheme="minorHAnsi" w:hAnsiTheme="minorHAnsi" w:cstheme="minorHAnsi"/>
                <w:sz w:val="22"/>
                <w:szCs w:val="22"/>
              </w:rPr>
              <w:t>3.85</w:t>
            </w:r>
            <w:r w:rsidR="00827712" w:rsidRPr="0034657C">
              <w:rPr>
                <w:rFonts w:asciiTheme="minorHAnsi" w:hAnsiTheme="minorHAnsi" w:cstheme="minorHAnsi"/>
                <w:sz w:val="22"/>
                <w:szCs w:val="22"/>
              </w:rPr>
              <w:t xml:space="preserve"> each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A147" w14:textId="77777777" w:rsidR="00674193" w:rsidRPr="0034657C" w:rsidRDefault="00674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674193" w:rsidRPr="0034657C" w14:paraId="684FA6BD" w14:textId="77777777" w:rsidTr="002F6CDD">
        <w:trPr>
          <w:gridBefore w:val="1"/>
          <w:wBefore w:w="8" w:type="dxa"/>
          <w:trHeight w:val="420"/>
        </w:trPr>
        <w:tc>
          <w:tcPr>
            <w:tcW w:w="3163" w:type="dxa"/>
          </w:tcPr>
          <w:p w14:paraId="0A7B4F9E" w14:textId="77777777" w:rsidR="00674193" w:rsidRPr="0034657C" w:rsidRDefault="006741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7" w:type="dxa"/>
          </w:tcPr>
          <w:p w14:paraId="37AA0AF5" w14:textId="77777777" w:rsidR="00674193" w:rsidRPr="0034657C" w:rsidRDefault="006741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8" w:type="dxa"/>
          </w:tcPr>
          <w:p w14:paraId="11733971" w14:textId="77777777" w:rsidR="00674193" w:rsidRPr="0034657C" w:rsidRDefault="006741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14:paraId="0C6F4EC3" w14:textId="77777777" w:rsidR="00674193" w:rsidRPr="0034657C" w:rsidRDefault="006741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2D56D9" w14:textId="77777777" w:rsidR="00674193" w:rsidRPr="0034657C" w:rsidRDefault="006741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98BA9" w14:textId="77777777" w:rsidR="00674193" w:rsidRPr="0034657C" w:rsidRDefault="006741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FC184" w14:textId="77777777" w:rsidR="00674193" w:rsidRPr="0034657C" w:rsidRDefault="00674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57C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ED04B8" w:rsidRPr="0034657C" w14:paraId="1C7503C8" w14:textId="77777777" w:rsidTr="002F6CDD">
        <w:trPr>
          <w:trHeight w:val="242"/>
        </w:trPr>
        <w:tc>
          <w:tcPr>
            <w:tcW w:w="10490" w:type="dxa"/>
            <w:gridSpan w:val="6"/>
          </w:tcPr>
          <w:p w14:paraId="0B216D91" w14:textId="77777777" w:rsidR="00ED04B8" w:rsidRPr="0034657C" w:rsidRDefault="00ED04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ED04B8" w:rsidRPr="0034657C" w14:paraId="2D1F3BFE" w14:textId="77777777" w:rsidTr="002F6CDD">
        <w:trPr>
          <w:trHeight w:val="242"/>
        </w:trPr>
        <w:tc>
          <w:tcPr>
            <w:tcW w:w="10490" w:type="dxa"/>
            <w:gridSpan w:val="6"/>
          </w:tcPr>
          <w:tbl>
            <w:tblPr>
              <w:tblStyle w:val="TableGrid"/>
              <w:tblW w:w="1038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0"/>
            </w:tblGrid>
            <w:tr w:rsidR="00532F5B" w:rsidRPr="0034657C" w14:paraId="0CFD7319" w14:textId="77777777" w:rsidTr="00D1322A">
              <w:trPr>
                <w:trHeight w:val="353"/>
              </w:trPr>
              <w:tc>
                <w:tcPr>
                  <w:tcW w:w="10380" w:type="dxa"/>
                </w:tcPr>
                <w:p w14:paraId="74DE3E00" w14:textId="77777777" w:rsidR="00532F5B" w:rsidRPr="0034657C" w:rsidRDefault="00532F5B" w:rsidP="00532F5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6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WI Name:</w:t>
                  </w:r>
                </w:p>
              </w:tc>
            </w:tr>
            <w:tr w:rsidR="00532F5B" w:rsidRPr="0034657C" w14:paraId="019FD596" w14:textId="77777777" w:rsidTr="00D1322A">
              <w:trPr>
                <w:trHeight w:val="432"/>
              </w:trPr>
              <w:tc>
                <w:tcPr>
                  <w:tcW w:w="10380" w:type="dxa"/>
                </w:tcPr>
                <w:p w14:paraId="72354B8A" w14:textId="77777777" w:rsidR="00532F5B" w:rsidRPr="0034657C" w:rsidRDefault="00532F5B" w:rsidP="00532F5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6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Treasurer’s Name: </w:t>
                  </w:r>
                </w:p>
              </w:tc>
            </w:tr>
            <w:tr w:rsidR="00532F5B" w:rsidRPr="0034657C" w14:paraId="629D03CC" w14:textId="77777777" w:rsidTr="00D1322A">
              <w:trPr>
                <w:trHeight w:val="365"/>
              </w:trPr>
              <w:tc>
                <w:tcPr>
                  <w:tcW w:w="10380" w:type="dxa"/>
                </w:tcPr>
                <w:p w14:paraId="6BD1970F" w14:textId="77777777" w:rsidR="00532F5B" w:rsidRPr="0034657C" w:rsidRDefault="00532F5B" w:rsidP="00532F5B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65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Email:                                                                                                                Tel number:</w:t>
                  </w:r>
                </w:p>
              </w:tc>
            </w:tr>
          </w:tbl>
          <w:p w14:paraId="3CA79D53" w14:textId="77777777" w:rsidR="00532F5B" w:rsidRPr="0034657C" w:rsidRDefault="00532F5B" w:rsidP="00532F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A24590" w14:textId="77777777" w:rsidR="00D1322A" w:rsidRPr="001B1A45" w:rsidRDefault="002843ED" w:rsidP="00F466D0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D1322A">
              <w:rPr>
                <w:rFonts w:asciiTheme="minorHAnsi" w:hAnsiTheme="minorHAnsi" w:cstheme="minorHAnsi"/>
                <w:bCs/>
                <w:szCs w:val="24"/>
              </w:rPr>
              <w:t xml:space="preserve">You may pay by </w:t>
            </w:r>
            <w:r w:rsidRPr="001B1A45">
              <w:rPr>
                <w:rFonts w:asciiTheme="minorHAnsi" w:hAnsiTheme="minorHAnsi" w:cstheme="minorHAnsi"/>
                <w:b/>
                <w:szCs w:val="24"/>
              </w:rPr>
              <w:t xml:space="preserve">BACS: NOTTS FED WI REGD CHARITY. </w:t>
            </w:r>
          </w:p>
          <w:p w14:paraId="02000E3B" w14:textId="0FAB2118" w:rsidR="00894832" w:rsidRPr="00D1322A" w:rsidRDefault="002843ED" w:rsidP="00F466D0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B1A45">
              <w:rPr>
                <w:rFonts w:asciiTheme="minorHAnsi" w:hAnsiTheme="minorHAnsi" w:cstheme="minorHAnsi"/>
                <w:b/>
                <w:szCs w:val="24"/>
              </w:rPr>
              <w:t>Sort Code: 05 06 22 Account No: 50342581.  Ref:</w:t>
            </w:r>
            <w:r w:rsidR="00F466D0" w:rsidRPr="001B1A4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1B1A45">
              <w:rPr>
                <w:rFonts w:asciiTheme="minorHAnsi" w:hAnsiTheme="minorHAnsi" w:cstheme="minorHAnsi"/>
                <w:b/>
                <w:szCs w:val="24"/>
              </w:rPr>
              <w:t>SUBS2</w:t>
            </w:r>
            <w:r w:rsidR="009115C0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D1322A"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</w:p>
          <w:p w14:paraId="2CFAC425" w14:textId="4088D851" w:rsidR="002843ED" w:rsidRPr="001B1A45" w:rsidRDefault="002843ED" w:rsidP="001B1A45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1B1A45">
              <w:rPr>
                <w:rFonts w:asciiTheme="minorHAnsi" w:hAnsiTheme="minorHAnsi" w:cstheme="minorHAnsi"/>
                <w:b/>
                <w:szCs w:val="24"/>
              </w:rPr>
              <w:t>This account is with</w:t>
            </w:r>
            <w:r w:rsidRPr="00D1322A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1B1A45">
              <w:rPr>
                <w:rFonts w:asciiTheme="minorHAnsi" w:hAnsiTheme="minorHAnsi" w:cstheme="minorHAnsi"/>
                <w:b/>
                <w:szCs w:val="24"/>
              </w:rPr>
              <w:t xml:space="preserve">Virgin Money (Clydesdale Yorkshire). Please advise of payment to </w:t>
            </w:r>
            <w:r w:rsidR="001B1A45" w:rsidRPr="001B1A45">
              <w:rPr>
                <w:rFonts w:asciiTheme="minorHAnsi" w:hAnsiTheme="minorHAnsi" w:cstheme="minorHAnsi"/>
                <w:b/>
                <w:szCs w:val="24"/>
              </w:rPr>
              <w:t>ad</w:t>
            </w:r>
            <w:r w:rsidRPr="001B1A45">
              <w:rPr>
                <w:rFonts w:asciiTheme="minorHAnsi" w:hAnsiTheme="minorHAnsi" w:cstheme="minorHAnsi"/>
                <w:b/>
                <w:szCs w:val="24"/>
              </w:rPr>
              <w:t>min@nottswi.org.uk.</w:t>
            </w:r>
          </w:p>
          <w:p w14:paraId="07954223" w14:textId="2B6CB3EB" w:rsidR="00D1322A" w:rsidRDefault="002843ED" w:rsidP="0066490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1322A">
              <w:rPr>
                <w:rFonts w:asciiTheme="minorHAnsi" w:hAnsiTheme="minorHAnsi" w:cstheme="minorHAnsi"/>
                <w:bCs/>
                <w:szCs w:val="24"/>
              </w:rPr>
              <w:t xml:space="preserve">Please make any cheques payable to Notts Fed of WIs and return this section to Trent Bridge House, </w:t>
            </w:r>
            <w:proofErr w:type="spellStart"/>
            <w:r w:rsidRPr="00D1322A">
              <w:rPr>
                <w:rFonts w:asciiTheme="minorHAnsi" w:hAnsiTheme="minorHAnsi" w:cstheme="minorHAnsi"/>
                <w:bCs/>
                <w:szCs w:val="24"/>
              </w:rPr>
              <w:t>Beastmarket</w:t>
            </w:r>
            <w:proofErr w:type="spellEnd"/>
            <w:r w:rsidRPr="00D1322A">
              <w:rPr>
                <w:rFonts w:asciiTheme="minorHAnsi" w:hAnsiTheme="minorHAnsi" w:cstheme="minorHAnsi"/>
                <w:bCs/>
                <w:szCs w:val="24"/>
              </w:rPr>
              <w:t xml:space="preserve"> Hill, Newark, Notts NG24 1BN </w:t>
            </w:r>
            <w:r w:rsidRPr="00D1322A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Please send in before </w:t>
            </w:r>
            <w:r w:rsidR="009115C0" w:rsidRPr="00D1322A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Monday </w:t>
            </w:r>
            <w:r w:rsidR="009115C0">
              <w:rPr>
                <w:rFonts w:asciiTheme="minorHAnsi" w:hAnsiTheme="minorHAnsi" w:cstheme="minorHAnsi"/>
                <w:b/>
                <w:szCs w:val="24"/>
                <w:u w:val="single"/>
              </w:rPr>
              <w:t>19</w:t>
            </w:r>
            <w:r w:rsidR="009115C0" w:rsidRPr="00D1322A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May 202</w:t>
            </w:r>
            <w:r w:rsidR="009115C0">
              <w:rPr>
                <w:rFonts w:asciiTheme="minorHAnsi" w:hAnsiTheme="minorHAnsi" w:cstheme="minorHAnsi"/>
                <w:b/>
                <w:szCs w:val="24"/>
                <w:u w:val="single"/>
              </w:rPr>
              <w:t>5</w:t>
            </w:r>
          </w:p>
          <w:p w14:paraId="3DBF3ACB" w14:textId="77777777" w:rsidR="00D1322A" w:rsidRDefault="00D1322A" w:rsidP="0066490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PTO</w:t>
            </w:r>
          </w:p>
          <w:p w14:paraId="4D46B875" w14:textId="2FB6A4B4" w:rsidR="00D1322A" w:rsidRPr="0066490C" w:rsidRDefault="00D1322A" w:rsidP="0066490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C8A8B51" w14:textId="77777777" w:rsidR="00092E69" w:rsidRDefault="00092E69" w:rsidP="00D1322A">
      <w:pPr>
        <w:jc w:val="both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6D160C83" w14:textId="77777777" w:rsidR="00A63074" w:rsidRDefault="00A63074" w:rsidP="00D1322A">
      <w:pPr>
        <w:jc w:val="both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246F2088" w14:textId="39BAC0FD" w:rsidR="00762719" w:rsidRPr="00CD6B62" w:rsidRDefault="00D1322A" w:rsidP="00D1322A">
      <w:pPr>
        <w:jc w:val="both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  <w:r w:rsidRPr="00CD6B62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lastRenderedPageBreak/>
        <w:t xml:space="preserve"> </w:t>
      </w:r>
      <w:r w:rsidR="00762719" w:rsidRPr="00CD6B62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PRO-RATA MEMBERSHIP FEES FOR NEW MEMBERS IN THEIR FIRST YEAR</w:t>
      </w:r>
    </w:p>
    <w:p w14:paraId="379431D8" w14:textId="77777777" w:rsidR="00D1322A" w:rsidRPr="00D1322A" w:rsidRDefault="00D1322A" w:rsidP="00D1322A">
      <w:pPr>
        <w:jc w:val="both"/>
        <w:rPr>
          <w:rFonts w:asciiTheme="minorHAnsi" w:hAnsiTheme="minorHAnsi" w:cstheme="minorHAnsi"/>
          <w:bCs/>
          <w:color w:val="000000" w:themeColor="text1"/>
          <w:szCs w:val="24"/>
          <w:u w:val="single"/>
        </w:rPr>
      </w:pPr>
    </w:p>
    <w:p w14:paraId="563FBCE6" w14:textId="2EAF4412" w:rsidR="00762719" w:rsidRPr="00D1322A" w:rsidRDefault="00762719" w:rsidP="00A63074">
      <w:pPr>
        <w:overflowPunct/>
        <w:autoSpaceDE/>
        <w:autoSpaceDN/>
        <w:adjustRightInd/>
        <w:spacing w:after="10" w:line="248" w:lineRule="auto"/>
        <w:ind w:left="-5" w:hanging="10"/>
        <w:textAlignment w:val="auto"/>
        <w:rPr>
          <w:rFonts w:asciiTheme="minorHAnsi" w:hAnsiTheme="minorHAnsi" w:cstheme="minorHAnsi"/>
          <w:color w:val="000000" w:themeColor="text1"/>
          <w:szCs w:val="24"/>
        </w:rPr>
      </w:pPr>
      <w:r w:rsidRPr="00D1322A">
        <w:rPr>
          <w:rFonts w:asciiTheme="minorHAnsi" w:hAnsiTheme="minorHAnsi" w:cstheme="minorHAnsi"/>
          <w:b/>
          <w:color w:val="000000" w:themeColor="text1"/>
          <w:szCs w:val="24"/>
        </w:rPr>
        <w:t>New members joining the WI in 202</w:t>
      </w:r>
      <w:r w:rsidR="009115C0">
        <w:rPr>
          <w:rFonts w:asciiTheme="minorHAnsi" w:hAnsiTheme="minorHAnsi" w:cstheme="minorHAnsi"/>
          <w:b/>
          <w:color w:val="000000" w:themeColor="text1"/>
          <w:szCs w:val="24"/>
        </w:rPr>
        <w:t>5</w:t>
      </w:r>
      <w:r w:rsidRPr="00D1322A">
        <w:rPr>
          <w:rFonts w:asciiTheme="minorHAnsi" w:hAnsiTheme="minorHAnsi" w:cstheme="minorHAnsi"/>
          <w:b/>
          <w:color w:val="000000" w:themeColor="text1"/>
          <w:szCs w:val="24"/>
        </w:rPr>
        <w:t xml:space="preserve"> for the first time</w:t>
      </w:r>
      <w:r w:rsidRPr="00D1322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Pr="00D1322A">
        <w:rPr>
          <w:rFonts w:asciiTheme="minorHAnsi" w:hAnsiTheme="minorHAnsi" w:cstheme="minorHAnsi"/>
          <w:color w:val="000000" w:themeColor="text1"/>
          <w:szCs w:val="24"/>
        </w:rPr>
        <w:t>ie</w:t>
      </w:r>
      <w:proofErr w:type="spellEnd"/>
      <w:r w:rsidRPr="00D1322A">
        <w:rPr>
          <w:rFonts w:asciiTheme="minorHAnsi" w:hAnsiTheme="minorHAnsi" w:cstheme="minorHAnsi"/>
          <w:color w:val="000000" w:themeColor="text1"/>
          <w:szCs w:val="24"/>
        </w:rPr>
        <w:t xml:space="preserve">. who have not previously been a member </w:t>
      </w:r>
    </w:p>
    <w:p w14:paraId="663EA5EF" w14:textId="77777777" w:rsidR="00762719" w:rsidRPr="00D1322A" w:rsidRDefault="00762719" w:rsidP="00A63074">
      <w:pPr>
        <w:overflowPunct/>
        <w:autoSpaceDE/>
        <w:autoSpaceDN/>
        <w:adjustRightInd/>
        <w:spacing w:after="10" w:line="248" w:lineRule="auto"/>
        <w:ind w:left="-5" w:hanging="10"/>
        <w:textAlignment w:val="auto"/>
        <w:rPr>
          <w:rFonts w:asciiTheme="minorHAnsi" w:hAnsiTheme="minorHAnsi" w:cstheme="minorHAnsi"/>
          <w:color w:val="000000" w:themeColor="text1"/>
          <w:szCs w:val="24"/>
        </w:rPr>
      </w:pPr>
      <w:r w:rsidRPr="00D1322A">
        <w:rPr>
          <w:rFonts w:asciiTheme="minorHAnsi" w:hAnsiTheme="minorHAnsi" w:cstheme="minorHAnsi"/>
          <w:color w:val="000000" w:themeColor="text1"/>
          <w:szCs w:val="24"/>
        </w:rPr>
        <w:t xml:space="preserve">of any WI in the past year, will pay a pro-rata subscription depending on the quarter in which they </w:t>
      </w:r>
    </w:p>
    <w:p w14:paraId="0C70AEA0" w14:textId="77777777" w:rsidR="00762719" w:rsidRDefault="00762719" w:rsidP="00A63074">
      <w:pPr>
        <w:overflowPunct/>
        <w:autoSpaceDE/>
        <w:autoSpaceDN/>
        <w:adjustRightInd/>
        <w:spacing w:after="10" w:line="248" w:lineRule="auto"/>
        <w:ind w:left="-5" w:hanging="10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322A">
        <w:rPr>
          <w:rFonts w:asciiTheme="minorHAnsi" w:hAnsiTheme="minorHAnsi" w:cstheme="minorHAnsi"/>
          <w:color w:val="000000" w:themeColor="text1"/>
          <w:szCs w:val="24"/>
        </w:rPr>
        <w:t>join. The rate per quarter and the distribution are shown in the following table.</w:t>
      </w:r>
      <w:r w:rsidRPr="0034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E265259" w14:textId="77777777" w:rsidR="007D63E0" w:rsidRDefault="007D63E0" w:rsidP="00762719">
      <w:pPr>
        <w:overflowPunct/>
        <w:autoSpaceDE/>
        <w:autoSpaceDN/>
        <w:adjustRightInd/>
        <w:spacing w:after="10" w:line="248" w:lineRule="auto"/>
        <w:ind w:left="-5" w:hanging="10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1868"/>
        <w:gridCol w:w="1519"/>
        <w:gridCol w:w="1946"/>
        <w:gridCol w:w="1513"/>
      </w:tblGrid>
      <w:tr w:rsidR="007D63E0" w:rsidRPr="00E60D9E" w14:paraId="6AFB4FAA" w14:textId="77777777" w:rsidTr="00076A04">
        <w:trPr>
          <w:trHeight w:val="506"/>
        </w:trPr>
        <w:tc>
          <w:tcPr>
            <w:tcW w:w="2287" w:type="dxa"/>
          </w:tcPr>
          <w:p w14:paraId="5E54C6F1" w14:textId="77777777" w:rsidR="007D63E0" w:rsidRPr="00E60D9E" w:rsidRDefault="007D63E0" w:rsidP="00076A04">
            <w:pPr>
              <w:pStyle w:val="TableParagraph"/>
              <w:spacing w:before="0" w:line="252" w:lineRule="exact"/>
              <w:ind w:left="595" w:hanging="368"/>
              <w:jc w:val="left"/>
              <w:rPr>
                <w:rFonts w:ascii="Calibri" w:hAnsi="Calibri" w:cs="Calibri"/>
                <w:b/>
              </w:rPr>
            </w:pPr>
            <w:r w:rsidRPr="00E60D9E">
              <w:rPr>
                <w:rFonts w:ascii="Calibri" w:hAnsi="Calibri" w:cs="Calibri"/>
                <w:b/>
              </w:rPr>
              <w:t>Date</w:t>
            </w:r>
            <w:r w:rsidRPr="00E60D9E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E60D9E">
              <w:rPr>
                <w:rFonts w:ascii="Calibri" w:hAnsi="Calibri" w:cs="Calibri"/>
                <w:b/>
              </w:rPr>
              <w:t>of</w:t>
            </w:r>
            <w:r w:rsidRPr="00E60D9E">
              <w:rPr>
                <w:rFonts w:ascii="Calibri" w:hAnsi="Calibri" w:cs="Calibri"/>
                <w:b/>
                <w:spacing w:val="-15"/>
              </w:rPr>
              <w:t xml:space="preserve"> </w:t>
            </w:r>
            <w:r w:rsidRPr="00E60D9E">
              <w:rPr>
                <w:rFonts w:ascii="Calibri" w:hAnsi="Calibri" w:cs="Calibri"/>
                <w:b/>
              </w:rPr>
              <w:t xml:space="preserve">joining </w:t>
            </w:r>
            <w:r w:rsidRPr="00E60D9E">
              <w:rPr>
                <w:rFonts w:ascii="Calibri" w:hAnsi="Calibri" w:cs="Calibri"/>
                <w:b/>
                <w:spacing w:val="-2"/>
              </w:rPr>
              <w:t>2025/26</w:t>
            </w:r>
          </w:p>
        </w:tc>
        <w:tc>
          <w:tcPr>
            <w:tcW w:w="1868" w:type="dxa"/>
          </w:tcPr>
          <w:p w14:paraId="7560E7B6" w14:textId="77777777" w:rsidR="007D63E0" w:rsidRPr="00E60D9E" w:rsidRDefault="007D63E0" w:rsidP="00076A04">
            <w:pPr>
              <w:pStyle w:val="TableParagraph"/>
              <w:spacing w:before="127"/>
              <w:ind w:right="113"/>
              <w:jc w:val="both"/>
              <w:rPr>
                <w:rFonts w:ascii="Calibri" w:hAnsi="Calibri" w:cs="Calibri"/>
                <w:b/>
              </w:rPr>
            </w:pPr>
            <w:r w:rsidRPr="00E60D9E">
              <w:rPr>
                <w:rFonts w:ascii="Calibri" w:hAnsi="Calibri" w:cs="Calibri"/>
                <w:b/>
              </w:rPr>
              <w:t>Total</w:t>
            </w:r>
            <w:r w:rsidRPr="00E60D9E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60D9E">
              <w:rPr>
                <w:rFonts w:ascii="Calibri" w:hAnsi="Calibri" w:cs="Calibri"/>
                <w:b/>
                <w:spacing w:val="-2"/>
              </w:rPr>
              <w:t>subscription</w:t>
            </w:r>
          </w:p>
        </w:tc>
        <w:tc>
          <w:tcPr>
            <w:tcW w:w="1519" w:type="dxa"/>
          </w:tcPr>
          <w:p w14:paraId="21A61AFE" w14:textId="77777777" w:rsidR="007D63E0" w:rsidRPr="00E60D9E" w:rsidRDefault="007D63E0" w:rsidP="00076A04">
            <w:pPr>
              <w:pStyle w:val="TableParagraph"/>
              <w:spacing w:before="127"/>
              <w:ind w:left="288" w:right="273"/>
              <w:jc w:val="both"/>
              <w:rPr>
                <w:rFonts w:ascii="Calibri" w:hAnsi="Calibri" w:cs="Calibri"/>
                <w:b/>
              </w:rPr>
            </w:pPr>
            <w:r w:rsidRPr="00E60D9E">
              <w:rPr>
                <w:rFonts w:ascii="Calibri" w:hAnsi="Calibri" w:cs="Calibri"/>
                <w:b/>
              </w:rPr>
              <w:t xml:space="preserve">WI </w:t>
            </w:r>
            <w:r w:rsidRPr="00E60D9E">
              <w:rPr>
                <w:rFonts w:ascii="Calibri" w:hAnsi="Calibri" w:cs="Calibri"/>
                <w:b/>
                <w:spacing w:val="-2"/>
              </w:rPr>
              <w:t>share</w:t>
            </w:r>
          </w:p>
        </w:tc>
        <w:tc>
          <w:tcPr>
            <w:tcW w:w="1946" w:type="dxa"/>
          </w:tcPr>
          <w:p w14:paraId="7C664F12" w14:textId="77777777" w:rsidR="007D63E0" w:rsidRPr="00E60D9E" w:rsidRDefault="007D63E0" w:rsidP="00076A04">
            <w:pPr>
              <w:pStyle w:val="TableParagraph"/>
              <w:spacing w:before="0" w:line="252" w:lineRule="exact"/>
              <w:ind w:left="682" w:hanging="269"/>
              <w:jc w:val="both"/>
              <w:rPr>
                <w:rFonts w:ascii="Calibri" w:hAnsi="Calibri" w:cs="Calibri"/>
                <w:b/>
              </w:rPr>
            </w:pPr>
            <w:r w:rsidRPr="00E60D9E">
              <w:rPr>
                <w:rFonts w:ascii="Calibri" w:hAnsi="Calibri" w:cs="Calibri"/>
                <w:b/>
                <w:spacing w:val="-2"/>
              </w:rPr>
              <w:t>Federation share</w:t>
            </w:r>
          </w:p>
        </w:tc>
        <w:tc>
          <w:tcPr>
            <w:tcW w:w="1513" w:type="dxa"/>
          </w:tcPr>
          <w:p w14:paraId="7BF46CB5" w14:textId="77777777" w:rsidR="007D63E0" w:rsidRPr="00E60D9E" w:rsidRDefault="007D63E0" w:rsidP="00076A04">
            <w:pPr>
              <w:pStyle w:val="TableParagraph"/>
              <w:spacing w:before="127"/>
              <w:ind w:left="138" w:right="124"/>
              <w:jc w:val="both"/>
              <w:rPr>
                <w:rFonts w:ascii="Calibri" w:hAnsi="Calibri" w:cs="Calibri"/>
                <w:b/>
              </w:rPr>
            </w:pPr>
            <w:r w:rsidRPr="00E60D9E">
              <w:rPr>
                <w:rFonts w:ascii="Calibri" w:hAnsi="Calibri" w:cs="Calibri"/>
                <w:b/>
              </w:rPr>
              <w:t>NFWI</w:t>
            </w:r>
            <w:r w:rsidRPr="00E60D9E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60D9E">
              <w:rPr>
                <w:rFonts w:ascii="Calibri" w:hAnsi="Calibri" w:cs="Calibri"/>
                <w:b/>
                <w:spacing w:val="-2"/>
              </w:rPr>
              <w:t>share</w:t>
            </w:r>
          </w:p>
        </w:tc>
      </w:tr>
      <w:tr w:rsidR="007D63E0" w:rsidRPr="00E60D9E" w14:paraId="511B141D" w14:textId="77777777" w:rsidTr="00076A04">
        <w:trPr>
          <w:trHeight w:val="412"/>
        </w:trPr>
        <w:tc>
          <w:tcPr>
            <w:tcW w:w="2287" w:type="dxa"/>
          </w:tcPr>
          <w:p w14:paraId="462C2CF6" w14:textId="77777777" w:rsidR="007D63E0" w:rsidRPr="00E60D9E" w:rsidRDefault="007D63E0" w:rsidP="00076A04">
            <w:pPr>
              <w:pStyle w:val="TableParagraph"/>
              <w:ind w:left="108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</w:rPr>
              <w:t>1</w:t>
            </w:r>
            <w:r w:rsidRPr="00E60D9E">
              <w:rPr>
                <w:rFonts w:ascii="Calibri" w:hAnsi="Calibri" w:cs="Calibri"/>
                <w:spacing w:val="-2"/>
              </w:rPr>
              <w:t xml:space="preserve"> </w:t>
            </w:r>
            <w:r w:rsidRPr="00E60D9E">
              <w:rPr>
                <w:rFonts w:ascii="Calibri" w:hAnsi="Calibri" w:cs="Calibri"/>
              </w:rPr>
              <w:t>April-30</w:t>
            </w:r>
            <w:r w:rsidRPr="00E60D9E">
              <w:rPr>
                <w:rFonts w:ascii="Calibri" w:hAnsi="Calibri" w:cs="Calibri"/>
                <w:spacing w:val="-1"/>
              </w:rPr>
              <w:t xml:space="preserve"> </w:t>
            </w:r>
            <w:r w:rsidRPr="00E60D9E">
              <w:rPr>
                <w:rFonts w:ascii="Calibri" w:hAnsi="Calibri" w:cs="Calibri"/>
                <w:spacing w:val="-4"/>
              </w:rPr>
              <w:t>June</w:t>
            </w:r>
          </w:p>
        </w:tc>
        <w:tc>
          <w:tcPr>
            <w:tcW w:w="1868" w:type="dxa"/>
          </w:tcPr>
          <w:p w14:paraId="27C5AB1E" w14:textId="77777777" w:rsidR="007D63E0" w:rsidRPr="00E60D9E" w:rsidRDefault="007D63E0" w:rsidP="00076A04">
            <w:pPr>
              <w:pStyle w:val="TableParagraph"/>
              <w:ind w:right="109"/>
              <w:jc w:val="both"/>
              <w:rPr>
                <w:rFonts w:ascii="Calibri" w:hAnsi="Calibri" w:cs="Calibri"/>
                <w:b/>
              </w:rPr>
            </w:pPr>
            <w:r w:rsidRPr="00E60D9E">
              <w:rPr>
                <w:rFonts w:ascii="Calibri" w:hAnsi="Calibri" w:cs="Calibri"/>
                <w:b/>
                <w:spacing w:val="-2"/>
              </w:rPr>
              <w:t>£51.00</w:t>
            </w:r>
          </w:p>
        </w:tc>
        <w:tc>
          <w:tcPr>
            <w:tcW w:w="1519" w:type="dxa"/>
          </w:tcPr>
          <w:p w14:paraId="654257E4" w14:textId="77777777" w:rsidR="007D63E0" w:rsidRPr="00E60D9E" w:rsidRDefault="007D63E0" w:rsidP="00076A04">
            <w:pPr>
              <w:pStyle w:val="TableParagraph"/>
              <w:ind w:left="288" w:right="272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  <w:spacing w:val="-2"/>
              </w:rPr>
              <w:t>£25.10</w:t>
            </w:r>
          </w:p>
        </w:tc>
        <w:tc>
          <w:tcPr>
            <w:tcW w:w="1946" w:type="dxa"/>
          </w:tcPr>
          <w:p w14:paraId="3D32B64C" w14:textId="77777777" w:rsidR="007D63E0" w:rsidRPr="00E60D9E" w:rsidRDefault="007D63E0" w:rsidP="00076A04">
            <w:pPr>
              <w:pStyle w:val="TableParagraph"/>
              <w:ind w:left="639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  <w:spacing w:val="-2"/>
              </w:rPr>
              <w:t>£12.05</w:t>
            </w:r>
          </w:p>
        </w:tc>
        <w:tc>
          <w:tcPr>
            <w:tcW w:w="1513" w:type="dxa"/>
          </w:tcPr>
          <w:p w14:paraId="5D884DBC" w14:textId="77777777" w:rsidR="007D63E0" w:rsidRPr="00E60D9E" w:rsidRDefault="007D63E0" w:rsidP="00076A04">
            <w:pPr>
              <w:pStyle w:val="TableParagraph"/>
              <w:ind w:left="138" w:right="123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  <w:spacing w:val="-2"/>
              </w:rPr>
              <w:t>£13.85</w:t>
            </w:r>
          </w:p>
        </w:tc>
      </w:tr>
      <w:tr w:rsidR="007D63E0" w:rsidRPr="00E60D9E" w14:paraId="16A38DEA" w14:textId="77777777" w:rsidTr="00076A04">
        <w:trPr>
          <w:trHeight w:val="429"/>
        </w:trPr>
        <w:tc>
          <w:tcPr>
            <w:tcW w:w="2287" w:type="dxa"/>
          </w:tcPr>
          <w:p w14:paraId="16DF8F2E" w14:textId="77777777" w:rsidR="007D63E0" w:rsidRPr="00E60D9E" w:rsidRDefault="007D63E0" w:rsidP="00076A04">
            <w:pPr>
              <w:pStyle w:val="TableParagraph"/>
              <w:spacing w:before="88"/>
              <w:ind w:left="108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</w:rPr>
              <w:t>1</w:t>
            </w:r>
            <w:r w:rsidRPr="00E60D9E">
              <w:rPr>
                <w:rFonts w:ascii="Calibri" w:hAnsi="Calibri" w:cs="Calibri"/>
                <w:spacing w:val="-2"/>
              </w:rPr>
              <w:t xml:space="preserve"> </w:t>
            </w:r>
            <w:r w:rsidRPr="00E60D9E">
              <w:rPr>
                <w:rFonts w:ascii="Calibri" w:hAnsi="Calibri" w:cs="Calibri"/>
              </w:rPr>
              <w:t>July-30</w:t>
            </w:r>
            <w:r w:rsidRPr="00E60D9E">
              <w:rPr>
                <w:rFonts w:ascii="Calibri" w:hAnsi="Calibri" w:cs="Calibri"/>
                <w:spacing w:val="-2"/>
              </w:rPr>
              <w:t xml:space="preserve"> </w:t>
            </w:r>
            <w:r w:rsidRPr="00E60D9E">
              <w:rPr>
                <w:rFonts w:ascii="Calibri" w:hAnsi="Calibri" w:cs="Calibri"/>
                <w:spacing w:val="-4"/>
              </w:rPr>
              <w:t>Sept</w:t>
            </w:r>
          </w:p>
        </w:tc>
        <w:tc>
          <w:tcPr>
            <w:tcW w:w="1868" w:type="dxa"/>
          </w:tcPr>
          <w:p w14:paraId="198487BE" w14:textId="77777777" w:rsidR="007D63E0" w:rsidRPr="00E60D9E" w:rsidRDefault="007D63E0" w:rsidP="00076A04">
            <w:pPr>
              <w:pStyle w:val="TableParagraph"/>
              <w:spacing w:before="88"/>
              <w:ind w:right="109"/>
              <w:jc w:val="both"/>
              <w:rPr>
                <w:rFonts w:ascii="Calibri" w:hAnsi="Calibri" w:cs="Calibri"/>
                <w:b/>
              </w:rPr>
            </w:pPr>
            <w:r w:rsidRPr="00E60D9E">
              <w:rPr>
                <w:rFonts w:ascii="Calibri" w:hAnsi="Calibri" w:cs="Calibri"/>
                <w:b/>
                <w:spacing w:val="-2"/>
              </w:rPr>
              <w:t>£38.25</w:t>
            </w:r>
          </w:p>
        </w:tc>
        <w:tc>
          <w:tcPr>
            <w:tcW w:w="1519" w:type="dxa"/>
          </w:tcPr>
          <w:p w14:paraId="0C584810" w14:textId="77777777" w:rsidR="007D63E0" w:rsidRPr="00E60D9E" w:rsidRDefault="007D63E0" w:rsidP="00076A04">
            <w:pPr>
              <w:pStyle w:val="TableParagraph"/>
              <w:spacing w:before="88"/>
              <w:ind w:left="288" w:right="273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  <w:spacing w:val="-2"/>
              </w:rPr>
              <w:t>£18.82</w:t>
            </w:r>
          </w:p>
        </w:tc>
        <w:tc>
          <w:tcPr>
            <w:tcW w:w="1946" w:type="dxa"/>
          </w:tcPr>
          <w:p w14:paraId="31D13E98" w14:textId="77777777" w:rsidR="007D63E0" w:rsidRPr="00E60D9E" w:rsidRDefault="007D63E0" w:rsidP="00076A04">
            <w:pPr>
              <w:pStyle w:val="TableParagraph"/>
              <w:spacing w:before="88"/>
              <w:ind w:left="701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  <w:spacing w:val="-2"/>
              </w:rPr>
              <w:t>£9.04</w:t>
            </w:r>
          </w:p>
        </w:tc>
        <w:tc>
          <w:tcPr>
            <w:tcW w:w="1513" w:type="dxa"/>
          </w:tcPr>
          <w:p w14:paraId="435B0A36" w14:textId="77777777" w:rsidR="007D63E0" w:rsidRPr="00E60D9E" w:rsidRDefault="007D63E0" w:rsidP="00076A04">
            <w:pPr>
              <w:pStyle w:val="TableParagraph"/>
              <w:spacing w:before="88"/>
              <w:ind w:left="138" w:right="121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  <w:spacing w:val="-2"/>
              </w:rPr>
              <w:t>£10.39</w:t>
            </w:r>
          </w:p>
        </w:tc>
      </w:tr>
      <w:tr w:rsidR="007D63E0" w:rsidRPr="00E60D9E" w14:paraId="0D64F33F" w14:textId="77777777" w:rsidTr="00076A04">
        <w:trPr>
          <w:trHeight w:val="410"/>
        </w:trPr>
        <w:tc>
          <w:tcPr>
            <w:tcW w:w="2287" w:type="dxa"/>
          </w:tcPr>
          <w:p w14:paraId="1B880AC0" w14:textId="77777777" w:rsidR="007D63E0" w:rsidRPr="00E60D9E" w:rsidRDefault="007D63E0" w:rsidP="00076A04">
            <w:pPr>
              <w:pStyle w:val="TableParagraph"/>
              <w:ind w:left="108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</w:rPr>
              <w:t>1</w:t>
            </w:r>
            <w:r w:rsidRPr="00E60D9E">
              <w:rPr>
                <w:rFonts w:ascii="Calibri" w:hAnsi="Calibri" w:cs="Calibri"/>
                <w:spacing w:val="-1"/>
              </w:rPr>
              <w:t xml:space="preserve"> </w:t>
            </w:r>
            <w:r w:rsidRPr="00E60D9E">
              <w:rPr>
                <w:rFonts w:ascii="Calibri" w:hAnsi="Calibri" w:cs="Calibri"/>
              </w:rPr>
              <w:t>Oct-31</w:t>
            </w:r>
            <w:r w:rsidRPr="00E60D9E">
              <w:rPr>
                <w:rFonts w:ascii="Calibri" w:hAnsi="Calibri" w:cs="Calibri"/>
                <w:spacing w:val="-2"/>
              </w:rPr>
              <w:t xml:space="preserve"> </w:t>
            </w:r>
            <w:r w:rsidRPr="00E60D9E">
              <w:rPr>
                <w:rFonts w:ascii="Calibri" w:hAnsi="Calibri" w:cs="Calibri"/>
                <w:spacing w:val="-5"/>
              </w:rPr>
              <w:t>Dec</w:t>
            </w:r>
          </w:p>
        </w:tc>
        <w:tc>
          <w:tcPr>
            <w:tcW w:w="1868" w:type="dxa"/>
          </w:tcPr>
          <w:p w14:paraId="4D1118D4" w14:textId="77777777" w:rsidR="007D63E0" w:rsidRPr="00E60D9E" w:rsidRDefault="007D63E0" w:rsidP="00076A04">
            <w:pPr>
              <w:pStyle w:val="TableParagraph"/>
              <w:ind w:right="109"/>
              <w:jc w:val="both"/>
              <w:rPr>
                <w:rFonts w:ascii="Calibri" w:hAnsi="Calibri" w:cs="Calibri"/>
                <w:b/>
              </w:rPr>
            </w:pPr>
            <w:r w:rsidRPr="00E60D9E">
              <w:rPr>
                <w:rFonts w:ascii="Calibri" w:hAnsi="Calibri" w:cs="Calibri"/>
                <w:b/>
                <w:spacing w:val="-2"/>
              </w:rPr>
              <w:t>£25.50</w:t>
            </w:r>
          </w:p>
        </w:tc>
        <w:tc>
          <w:tcPr>
            <w:tcW w:w="1519" w:type="dxa"/>
          </w:tcPr>
          <w:p w14:paraId="23F255E2" w14:textId="77777777" w:rsidR="007D63E0" w:rsidRPr="00E60D9E" w:rsidRDefault="007D63E0" w:rsidP="00076A04">
            <w:pPr>
              <w:pStyle w:val="TableParagraph"/>
              <w:ind w:left="288" w:right="272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  <w:spacing w:val="-2"/>
              </w:rPr>
              <w:t>£12.55</w:t>
            </w:r>
          </w:p>
        </w:tc>
        <w:tc>
          <w:tcPr>
            <w:tcW w:w="1946" w:type="dxa"/>
          </w:tcPr>
          <w:p w14:paraId="22D582EA" w14:textId="77777777" w:rsidR="007D63E0" w:rsidRPr="00E60D9E" w:rsidRDefault="007D63E0" w:rsidP="00076A04">
            <w:pPr>
              <w:pStyle w:val="TableParagraph"/>
              <w:ind w:left="701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  <w:spacing w:val="-2"/>
              </w:rPr>
              <w:t>£6.03</w:t>
            </w:r>
          </w:p>
        </w:tc>
        <w:tc>
          <w:tcPr>
            <w:tcW w:w="1513" w:type="dxa"/>
          </w:tcPr>
          <w:p w14:paraId="740C0D3E" w14:textId="77777777" w:rsidR="007D63E0" w:rsidRPr="00E60D9E" w:rsidRDefault="007D63E0" w:rsidP="00076A04">
            <w:pPr>
              <w:pStyle w:val="TableParagraph"/>
              <w:ind w:left="138" w:right="121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  <w:spacing w:val="-2"/>
              </w:rPr>
              <w:t>£6.92</w:t>
            </w:r>
          </w:p>
        </w:tc>
      </w:tr>
      <w:tr w:rsidR="007D63E0" w:rsidRPr="00E60D9E" w14:paraId="3E8346BE" w14:textId="77777777" w:rsidTr="00076A04">
        <w:trPr>
          <w:trHeight w:val="407"/>
        </w:trPr>
        <w:tc>
          <w:tcPr>
            <w:tcW w:w="2287" w:type="dxa"/>
          </w:tcPr>
          <w:p w14:paraId="74D464C4" w14:textId="77777777" w:rsidR="007D63E0" w:rsidRPr="00E60D9E" w:rsidRDefault="007D63E0" w:rsidP="00076A04">
            <w:pPr>
              <w:pStyle w:val="TableParagraph"/>
              <w:spacing w:before="76"/>
              <w:ind w:left="108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</w:rPr>
              <w:t>1</w:t>
            </w:r>
            <w:r w:rsidRPr="00E60D9E">
              <w:rPr>
                <w:rFonts w:ascii="Calibri" w:hAnsi="Calibri" w:cs="Calibri"/>
                <w:spacing w:val="-1"/>
              </w:rPr>
              <w:t xml:space="preserve"> </w:t>
            </w:r>
            <w:r w:rsidRPr="00E60D9E">
              <w:rPr>
                <w:rFonts w:ascii="Calibri" w:hAnsi="Calibri" w:cs="Calibri"/>
              </w:rPr>
              <w:t>Jan-31</w:t>
            </w:r>
            <w:r w:rsidRPr="00E60D9E">
              <w:rPr>
                <w:rFonts w:ascii="Calibri" w:hAnsi="Calibri" w:cs="Calibri"/>
                <w:spacing w:val="-2"/>
              </w:rPr>
              <w:t xml:space="preserve"> March</w:t>
            </w:r>
          </w:p>
        </w:tc>
        <w:tc>
          <w:tcPr>
            <w:tcW w:w="1868" w:type="dxa"/>
          </w:tcPr>
          <w:p w14:paraId="132AABD7" w14:textId="77777777" w:rsidR="007D63E0" w:rsidRPr="00E60D9E" w:rsidRDefault="007D63E0" w:rsidP="00076A04">
            <w:pPr>
              <w:pStyle w:val="TableParagraph"/>
              <w:spacing w:before="76"/>
              <w:ind w:right="109"/>
              <w:jc w:val="both"/>
              <w:rPr>
                <w:rFonts w:ascii="Calibri" w:hAnsi="Calibri" w:cs="Calibri"/>
                <w:b/>
              </w:rPr>
            </w:pPr>
            <w:r w:rsidRPr="00E60D9E">
              <w:rPr>
                <w:rFonts w:ascii="Calibri" w:hAnsi="Calibri" w:cs="Calibri"/>
                <w:b/>
                <w:spacing w:val="-2"/>
              </w:rPr>
              <w:t>£12.75</w:t>
            </w:r>
          </w:p>
        </w:tc>
        <w:tc>
          <w:tcPr>
            <w:tcW w:w="1519" w:type="dxa"/>
          </w:tcPr>
          <w:p w14:paraId="670F1BAA" w14:textId="77777777" w:rsidR="007D63E0" w:rsidRPr="00E60D9E" w:rsidRDefault="007D63E0" w:rsidP="00076A04">
            <w:pPr>
              <w:pStyle w:val="TableParagraph"/>
              <w:spacing w:before="76"/>
              <w:ind w:left="288" w:right="271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  <w:spacing w:val="-2"/>
              </w:rPr>
              <w:t>£6.28</w:t>
            </w:r>
          </w:p>
        </w:tc>
        <w:tc>
          <w:tcPr>
            <w:tcW w:w="1946" w:type="dxa"/>
          </w:tcPr>
          <w:p w14:paraId="49A52A50" w14:textId="77777777" w:rsidR="007D63E0" w:rsidRPr="00E60D9E" w:rsidRDefault="007D63E0" w:rsidP="00076A04">
            <w:pPr>
              <w:pStyle w:val="TableParagraph"/>
              <w:spacing w:before="76"/>
              <w:ind w:left="701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  <w:spacing w:val="-2"/>
              </w:rPr>
              <w:t>£3.01</w:t>
            </w:r>
          </w:p>
        </w:tc>
        <w:tc>
          <w:tcPr>
            <w:tcW w:w="1513" w:type="dxa"/>
          </w:tcPr>
          <w:p w14:paraId="60552BEF" w14:textId="77777777" w:rsidR="007D63E0" w:rsidRPr="00E60D9E" w:rsidRDefault="007D63E0" w:rsidP="00076A04">
            <w:pPr>
              <w:pStyle w:val="TableParagraph"/>
              <w:spacing w:before="76"/>
              <w:ind w:left="138" w:right="121"/>
              <w:jc w:val="both"/>
              <w:rPr>
                <w:rFonts w:ascii="Calibri" w:hAnsi="Calibri" w:cs="Calibri"/>
              </w:rPr>
            </w:pPr>
            <w:r w:rsidRPr="00E60D9E">
              <w:rPr>
                <w:rFonts w:ascii="Calibri" w:hAnsi="Calibri" w:cs="Calibri"/>
                <w:spacing w:val="-2"/>
              </w:rPr>
              <w:t>£3.46</w:t>
            </w:r>
          </w:p>
        </w:tc>
      </w:tr>
    </w:tbl>
    <w:p w14:paraId="084F1E94" w14:textId="77777777" w:rsidR="007D63E0" w:rsidRPr="0034657C" w:rsidRDefault="007D63E0" w:rsidP="00762719">
      <w:pPr>
        <w:overflowPunct/>
        <w:autoSpaceDE/>
        <w:autoSpaceDN/>
        <w:adjustRightInd/>
        <w:spacing w:after="10" w:line="248" w:lineRule="auto"/>
        <w:ind w:left="-5" w:hanging="10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E7D9B5" w14:textId="77777777" w:rsidR="00762719" w:rsidRPr="0034657C" w:rsidRDefault="00762719" w:rsidP="00762719">
      <w:pPr>
        <w:overflowPunct/>
        <w:autoSpaceDE/>
        <w:autoSpaceDN/>
        <w:adjustRightInd/>
        <w:spacing w:after="10" w:line="248" w:lineRule="auto"/>
        <w:ind w:left="-5" w:hanging="10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65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4BE0AF7B" w14:textId="25C84C02" w:rsidR="001F0C42" w:rsidRDefault="001F0C42" w:rsidP="0040494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553598" w14:textId="4F8EA611" w:rsidR="00D1322A" w:rsidRPr="00DC54D2" w:rsidRDefault="00D1322A" w:rsidP="001B1A45">
      <w:pPr>
        <w:overflowPunct/>
        <w:autoSpaceDE/>
        <w:autoSpaceDN/>
        <w:adjustRightInd/>
        <w:jc w:val="both"/>
        <w:textAlignment w:val="auto"/>
        <w:rPr>
          <w:rFonts w:ascii="Calibri" w:hAnsi="Calibri" w:cs="Arial"/>
          <w:color w:val="000000" w:themeColor="text1"/>
          <w:szCs w:val="24"/>
        </w:rPr>
      </w:pPr>
      <w:r w:rsidRPr="00DC54D2">
        <w:rPr>
          <w:rFonts w:ascii="Calibri" w:hAnsi="Calibri" w:cs="Arial"/>
          <w:color w:val="000000" w:themeColor="text1"/>
          <w:szCs w:val="24"/>
        </w:rPr>
        <w:t>There is no pro-rata rate for dual membership,</w:t>
      </w:r>
      <w:r w:rsidR="001B1A45" w:rsidRPr="00D1322A">
        <w:rPr>
          <w:rFonts w:asciiTheme="minorHAnsi" w:hAnsiTheme="minorHAnsi" w:cstheme="minorHAnsi"/>
          <w:b/>
          <w:szCs w:val="24"/>
        </w:rPr>
        <w:t xml:space="preserve"> Dual Members </w:t>
      </w:r>
      <w:r w:rsidR="001B1A45" w:rsidRPr="00D1322A">
        <w:rPr>
          <w:rFonts w:asciiTheme="minorHAnsi" w:hAnsiTheme="minorHAnsi" w:cstheme="minorHAnsi"/>
          <w:bCs/>
          <w:szCs w:val="24"/>
        </w:rPr>
        <w:t>should pay their dual WI the amount agreed by the WI Committee (as WI Flexibility may be implemented). If the WI has waived their fee, the dual member pays nothing</w:t>
      </w:r>
      <w:r w:rsidR="001B1A45">
        <w:rPr>
          <w:rFonts w:asciiTheme="minorHAnsi" w:hAnsiTheme="minorHAnsi" w:cstheme="minorHAnsi"/>
          <w:bCs/>
          <w:szCs w:val="24"/>
        </w:rPr>
        <w:t>.</w:t>
      </w:r>
      <w:r w:rsidRPr="00DC54D2">
        <w:rPr>
          <w:rFonts w:ascii="Calibri" w:hAnsi="Calibri" w:cs="Arial"/>
          <w:color w:val="000000" w:themeColor="text1"/>
          <w:szCs w:val="24"/>
        </w:rPr>
        <w:t xml:space="preserve"> </w:t>
      </w:r>
    </w:p>
    <w:p w14:paraId="31F5FB89" w14:textId="6F5B2555" w:rsidR="00D1322A" w:rsidRPr="00DC54D2" w:rsidRDefault="00D1322A" w:rsidP="00D1322A">
      <w:pPr>
        <w:overflowPunct/>
        <w:autoSpaceDE/>
        <w:autoSpaceDN/>
        <w:adjustRightInd/>
        <w:jc w:val="both"/>
        <w:textAlignment w:val="auto"/>
        <w:rPr>
          <w:rFonts w:ascii="Calibri" w:hAnsi="Calibri" w:cs="Arial"/>
          <w:color w:val="000000" w:themeColor="text1"/>
          <w:szCs w:val="24"/>
        </w:rPr>
      </w:pPr>
      <w:r w:rsidRPr="00DC54D2">
        <w:rPr>
          <w:rFonts w:ascii="Calibri" w:hAnsi="Calibri" w:cs="Arial"/>
          <w:color w:val="000000" w:themeColor="text1"/>
          <w:szCs w:val="24"/>
        </w:rPr>
        <w:t xml:space="preserve">New WIs </w:t>
      </w:r>
      <w:r>
        <w:rPr>
          <w:rFonts w:ascii="Calibri" w:hAnsi="Calibri" w:cs="Arial"/>
          <w:color w:val="000000" w:themeColor="text1"/>
          <w:szCs w:val="24"/>
        </w:rPr>
        <w:t>forming</w:t>
      </w:r>
      <w:r w:rsidRPr="00DC54D2">
        <w:rPr>
          <w:rFonts w:ascii="Calibri" w:hAnsi="Calibri" w:cs="Arial"/>
          <w:color w:val="000000" w:themeColor="text1"/>
          <w:szCs w:val="24"/>
        </w:rPr>
        <w:t xml:space="preserve"> in 20</w:t>
      </w:r>
      <w:r w:rsidR="001B1A45">
        <w:rPr>
          <w:rFonts w:ascii="Calibri" w:hAnsi="Calibri" w:cs="Arial"/>
          <w:color w:val="000000" w:themeColor="text1"/>
          <w:szCs w:val="24"/>
        </w:rPr>
        <w:t>2</w:t>
      </w:r>
      <w:r w:rsidR="00E60D9E">
        <w:rPr>
          <w:rFonts w:ascii="Calibri" w:hAnsi="Calibri" w:cs="Arial"/>
          <w:color w:val="000000" w:themeColor="text1"/>
          <w:szCs w:val="24"/>
        </w:rPr>
        <w:t>5</w:t>
      </w:r>
      <w:r w:rsidRPr="00DC54D2">
        <w:rPr>
          <w:rFonts w:ascii="Calibri" w:hAnsi="Calibri" w:cs="Arial"/>
          <w:color w:val="000000" w:themeColor="text1"/>
          <w:szCs w:val="24"/>
        </w:rPr>
        <w:t xml:space="preserve"> will keep all the subscription paid by their members for 20</w:t>
      </w:r>
      <w:r w:rsidR="001B1A45">
        <w:rPr>
          <w:rFonts w:ascii="Calibri" w:hAnsi="Calibri" w:cs="Arial"/>
          <w:color w:val="000000" w:themeColor="text1"/>
          <w:szCs w:val="24"/>
        </w:rPr>
        <w:t>2</w:t>
      </w:r>
      <w:r w:rsidR="00E60D9E">
        <w:rPr>
          <w:rFonts w:ascii="Calibri" w:hAnsi="Calibri" w:cs="Arial"/>
          <w:color w:val="000000" w:themeColor="text1"/>
          <w:szCs w:val="24"/>
        </w:rPr>
        <w:t>5</w:t>
      </w:r>
      <w:r w:rsidR="001A29CF">
        <w:rPr>
          <w:rFonts w:ascii="Calibri" w:hAnsi="Calibri" w:cs="Arial"/>
          <w:color w:val="000000" w:themeColor="text1"/>
          <w:szCs w:val="24"/>
        </w:rPr>
        <w:t>.</w:t>
      </w:r>
    </w:p>
    <w:p w14:paraId="44BF7F3A" w14:textId="77777777" w:rsidR="00D1322A" w:rsidRPr="00DC54D2" w:rsidRDefault="00D1322A" w:rsidP="00D1322A">
      <w:pPr>
        <w:pStyle w:val="ListParagraph"/>
        <w:jc w:val="both"/>
        <w:rPr>
          <w:rFonts w:ascii="Calibri" w:hAnsi="Calibri" w:cs="Arial"/>
          <w:color w:val="000000" w:themeColor="text1"/>
          <w:szCs w:val="24"/>
        </w:rPr>
      </w:pPr>
    </w:p>
    <w:p w14:paraId="61358C79" w14:textId="193ECE9E" w:rsidR="001B1A45" w:rsidRDefault="00D1322A" w:rsidP="00D1322A">
      <w:pPr>
        <w:overflowPunct/>
        <w:autoSpaceDE/>
        <w:autoSpaceDN/>
        <w:adjustRightInd/>
        <w:jc w:val="both"/>
        <w:textAlignment w:val="auto"/>
        <w:rPr>
          <w:rFonts w:ascii="Calibri" w:hAnsi="Calibri" w:cs="Arial"/>
          <w:color w:val="000000" w:themeColor="text1"/>
          <w:szCs w:val="24"/>
        </w:rPr>
      </w:pPr>
      <w:r w:rsidRPr="00DC54D2">
        <w:rPr>
          <w:rFonts w:ascii="Calibri" w:hAnsi="Calibri" w:cs="Arial"/>
          <w:color w:val="000000" w:themeColor="text1"/>
          <w:szCs w:val="24"/>
        </w:rPr>
        <w:t>I hope that you and your fellow members will continue to enjoy your membership of the WI during 20</w:t>
      </w:r>
      <w:r w:rsidR="001B1A45">
        <w:rPr>
          <w:rFonts w:ascii="Calibri" w:hAnsi="Calibri" w:cs="Arial"/>
          <w:color w:val="000000" w:themeColor="text1"/>
          <w:szCs w:val="24"/>
        </w:rPr>
        <w:t>2</w:t>
      </w:r>
      <w:r w:rsidR="00E60D9E">
        <w:rPr>
          <w:rFonts w:ascii="Calibri" w:hAnsi="Calibri" w:cs="Arial"/>
          <w:color w:val="000000" w:themeColor="text1"/>
          <w:szCs w:val="24"/>
        </w:rPr>
        <w:t>5</w:t>
      </w:r>
      <w:r w:rsidRPr="00DC54D2">
        <w:rPr>
          <w:rFonts w:ascii="Calibri" w:hAnsi="Calibri" w:cs="Arial"/>
          <w:color w:val="000000" w:themeColor="text1"/>
          <w:szCs w:val="24"/>
        </w:rPr>
        <w:t xml:space="preserve">.   </w:t>
      </w:r>
    </w:p>
    <w:p w14:paraId="0180A05A" w14:textId="10B3EA70" w:rsidR="00D1322A" w:rsidRPr="00DC54D2" w:rsidRDefault="00D1322A" w:rsidP="00D1322A">
      <w:pPr>
        <w:overflowPunct/>
        <w:autoSpaceDE/>
        <w:autoSpaceDN/>
        <w:adjustRightInd/>
        <w:jc w:val="both"/>
        <w:textAlignment w:val="auto"/>
        <w:rPr>
          <w:rFonts w:ascii="Calibri" w:hAnsi="Calibri" w:cs="Arial"/>
          <w:color w:val="000000" w:themeColor="text1"/>
          <w:szCs w:val="24"/>
        </w:rPr>
      </w:pPr>
      <w:r w:rsidRPr="00DC54D2">
        <w:rPr>
          <w:rFonts w:ascii="Calibri" w:hAnsi="Calibri" w:cs="Arial"/>
          <w:color w:val="000000" w:themeColor="text1"/>
          <w:szCs w:val="24"/>
        </w:rPr>
        <w:t xml:space="preserve">   </w:t>
      </w:r>
    </w:p>
    <w:p w14:paraId="3E944CBA" w14:textId="77777777" w:rsidR="00D1322A" w:rsidRPr="0094215B" w:rsidRDefault="00D1322A" w:rsidP="00D1322A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Cs w:val="24"/>
        </w:rPr>
      </w:pPr>
      <w:r w:rsidRPr="0094215B">
        <w:rPr>
          <w:rFonts w:ascii="Calibri" w:hAnsi="Calibri"/>
          <w:szCs w:val="24"/>
        </w:rPr>
        <w:t>Jenny Bailey - Federation Treasurer</w:t>
      </w:r>
    </w:p>
    <w:p w14:paraId="1018B4EF" w14:textId="77777777" w:rsidR="00D1322A" w:rsidRPr="0034657C" w:rsidRDefault="00D1322A" w:rsidP="0040494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1322A" w:rsidRPr="0034657C" w:rsidSect="004B6B86">
      <w:type w:val="continuous"/>
      <w:pgSz w:w="11907" w:h="16840" w:code="9"/>
      <w:pgMar w:top="680" w:right="680" w:bottom="680" w:left="680" w:header="720" w:footer="448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42F31" w14:textId="77777777" w:rsidR="009B5118" w:rsidRDefault="009B5118">
      <w:r>
        <w:separator/>
      </w:r>
    </w:p>
  </w:endnote>
  <w:endnote w:type="continuationSeparator" w:id="0">
    <w:p w14:paraId="5880DD12" w14:textId="77777777" w:rsidR="009B5118" w:rsidRDefault="009B5118">
      <w:r>
        <w:continuationSeparator/>
      </w:r>
    </w:p>
  </w:endnote>
  <w:endnote w:type="continuationNotice" w:id="1">
    <w:p w14:paraId="4626EAA3" w14:textId="77777777" w:rsidR="009B5118" w:rsidRDefault="009B5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205D" w14:textId="77777777" w:rsidR="009B5118" w:rsidRDefault="009B5118">
      <w:r>
        <w:separator/>
      </w:r>
    </w:p>
  </w:footnote>
  <w:footnote w:type="continuationSeparator" w:id="0">
    <w:p w14:paraId="52DD3D87" w14:textId="77777777" w:rsidR="009B5118" w:rsidRDefault="009B5118">
      <w:r>
        <w:continuationSeparator/>
      </w:r>
    </w:p>
  </w:footnote>
  <w:footnote w:type="continuationNotice" w:id="1">
    <w:p w14:paraId="47CEF9F0" w14:textId="77777777" w:rsidR="009B5118" w:rsidRDefault="009B51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A40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C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44A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83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B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E0E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085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40B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449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A80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60655D"/>
    <w:multiLevelType w:val="hybridMultilevel"/>
    <w:tmpl w:val="05B08E7E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526A7"/>
    <w:multiLevelType w:val="hybridMultilevel"/>
    <w:tmpl w:val="179A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530A3"/>
    <w:multiLevelType w:val="hybridMultilevel"/>
    <w:tmpl w:val="37E83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77813">
    <w:abstractNumId w:val="9"/>
  </w:num>
  <w:num w:numId="2" w16cid:durableId="1283223210">
    <w:abstractNumId w:val="7"/>
  </w:num>
  <w:num w:numId="3" w16cid:durableId="1899510269">
    <w:abstractNumId w:val="6"/>
  </w:num>
  <w:num w:numId="4" w16cid:durableId="1551569711">
    <w:abstractNumId w:val="5"/>
  </w:num>
  <w:num w:numId="5" w16cid:durableId="1735279916">
    <w:abstractNumId w:val="4"/>
  </w:num>
  <w:num w:numId="6" w16cid:durableId="152795657">
    <w:abstractNumId w:val="8"/>
  </w:num>
  <w:num w:numId="7" w16cid:durableId="923802307">
    <w:abstractNumId w:val="3"/>
  </w:num>
  <w:num w:numId="8" w16cid:durableId="179465644">
    <w:abstractNumId w:val="2"/>
  </w:num>
  <w:num w:numId="9" w16cid:durableId="504326127">
    <w:abstractNumId w:val="1"/>
  </w:num>
  <w:num w:numId="10" w16cid:durableId="1836022932">
    <w:abstractNumId w:val="0"/>
  </w:num>
  <w:num w:numId="11" w16cid:durableId="171536409">
    <w:abstractNumId w:val="10"/>
  </w:num>
  <w:num w:numId="12" w16cid:durableId="998385748">
    <w:abstractNumId w:val="11"/>
  </w:num>
  <w:num w:numId="13" w16cid:durableId="1630816320">
    <w:abstractNumId w:val="12"/>
  </w:num>
  <w:num w:numId="14" w16cid:durableId="1643273111">
    <w:abstractNumId w:val="12"/>
  </w:num>
  <w:num w:numId="15" w16cid:durableId="13376168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F0"/>
    <w:rsid w:val="00006B4E"/>
    <w:rsid w:val="0001488D"/>
    <w:rsid w:val="00022952"/>
    <w:rsid w:val="0002786F"/>
    <w:rsid w:val="000321B3"/>
    <w:rsid w:val="00032AA6"/>
    <w:rsid w:val="00045C88"/>
    <w:rsid w:val="00053F55"/>
    <w:rsid w:val="000554B1"/>
    <w:rsid w:val="00056058"/>
    <w:rsid w:val="00075EDC"/>
    <w:rsid w:val="00092E69"/>
    <w:rsid w:val="00092F30"/>
    <w:rsid w:val="000B6DCD"/>
    <w:rsid w:val="000C0891"/>
    <w:rsid w:val="000D6C0B"/>
    <w:rsid w:val="000F586E"/>
    <w:rsid w:val="001053AB"/>
    <w:rsid w:val="001053B2"/>
    <w:rsid w:val="00124FDB"/>
    <w:rsid w:val="00134539"/>
    <w:rsid w:val="00164EB5"/>
    <w:rsid w:val="00171D33"/>
    <w:rsid w:val="00195F23"/>
    <w:rsid w:val="00195F46"/>
    <w:rsid w:val="001A1E17"/>
    <w:rsid w:val="001A29CF"/>
    <w:rsid w:val="001B1A45"/>
    <w:rsid w:val="001C6F47"/>
    <w:rsid w:val="001D6DF5"/>
    <w:rsid w:val="001F0C42"/>
    <w:rsid w:val="001F3895"/>
    <w:rsid w:val="001F55A7"/>
    <w:rsid w:val="00222DD6"/>
    <w:rsid w:val="00237DC8"/>
    <w:rsid w:val="002423D5"/>
    <w:rsid w:val="0024529B"/>
    <w:rsid w:val="00264C92"/>
    <w:rsid w:val="002843ED"/>
    <w:rsid w:val="002A2431"/>
    <w:rsid w:val="002A52CC"/>
    <w:rsid w:val="002B0A94"/>
    <w:rsid w:val="002B6F3F"/>
    <w:rsid w:val="002C36C3"/>
    <w:rsid w:val="002C3D09"/>
    <w:rsid w:val="002F6CDD"/>
    <w:rsid w:val="003019C7"/>
    <w:rsid w:val="003231C3"/>
    <w:rsid w:val="003245C5"/>
    <w:rsid w:val="0034276B"/>
    <w:rsid w:val="0034657C"/>
    <w:rsid w:val="003556D1"/>
    <w:rsid w:val="00362BC5"/>
    <w:rsid w:val="00375D8D"/>
    <w:rsid w:val="00375E54"/>
    <w:rsid w:val="00376D79"/>
    <w:rsid w:val="00390800"/>
    <w:rsid w:val="003A01A4"/>
    <w:rsid w:val="003B3032"/>
    <w:rsid w:val="003B4399"/>
    <w:rsid w:val="003E6206"/>
    <w:rsid w:val="003F0EE8"/>
    <w:rsid w:val="00404940"/>
    <w:rsid w:val="004237E1"/>
    <w:rsid w:val="00425D79"/>
    <w:rsid w:val="00426656"/>
    <w:rsid w:val="00430EED"/>
    <w:rsid w:val="0043411D"/>
    <w:rsid w:val="00456A4C"/>
    <w:rsid w:val="004630CF"/>
    <w:rsid w:val="00463C80"/>
    <w:rsid w:val="00467070"/>
    <w:rsid w:val="004862BB"/>
    <w:rsid w:val="0049416A"/>
    <w:rsid w:val="004A2086"/>
    <w:rsid w:val="004A7EF0"/>
    <w:rsid w:val="004B222D"/>
    <w:rsid w:val="004B6B86"/>
    <w:rsid w:val="004D5717"/>
    <w:rsid w:val="004E67AB"/>
    <w:rsid w:val="004F1565"/>
    <w:rsid w:val="00503506"/>
    <w:rsid w:val="00532F5B"/>
    <w:rsid w:val="00535AF0"/>
    <w:rsid w:val="00535C44"/>
    <w:rsid w:val="005361A9"/>
    <w:rsid w:val="00543082"/>
    <w:rsid w:val="005724AC"/>
    <w:rsid w:val="00576506"/>
    <w:rsid w:val="005808D4"/>
    <w:rsid w:val="00593C05"/>
    <w:rsid w:val="005A46F7"/>
    <w:rsid w:val="005A5816"/>
    <w:rsid w:val="005B5DA9"/>
    <w:rsid w:val="005C0BCC"/>
    <w:rsid w:val="005C50BB"/>
    <w:rsid w:val="005D02EB"/>
    <w:rsid w:val="005D1723"/>
    <w:rsid w:val="005D2BFA"/>
    <w:rsid w:val="005F2B09"/>
    <w:rsid w:val="005F3690"/>
    <w:rsid w:val="00602B00"/>
    <w:rsid w:val="00602FEE"/>
    <w:rsid w:val="00610CD9"/>
    <w:rsid w:val="00625BEF"/>
    <w:rsid w:val="0063111D"/>
    <w:rsid w:val="00631DEB"/>
    <w:rsid w:val="00633340"/>
    <w:rsid w:val="006634EA"/>
    <w:rsid w:val="0066490C"/>
    <w:rsid w:val="006717B9"/>
    <w:rsid w:val="006732AB"/>
    <w:rsid w:val="00673A2A"/>
    <w:rsid w:val="00674193"/>
    <w:rsid w:val="006B1D71"/>
    <w:rsid w:val="006C3B43"/>
    <w:rsid w:val="006D038F"/>
    <w:rsid w:val="006D7247"/>
    <w:rsid w:val="006D78F2"/>
    <w:rsid w:val="006E586F"/>
    <w:rsid w:val="006E5EB9"/>
    <w:rsid w:val="006E7066"/>
    <w:rsid w:val="006E70FF"/>
    <w:rsid w:val="006E7F70"/>
    <w:rsid w:val="006F0EDC"/>
    <w:rsid w:val="006F2A2D"/>
    <w:rsid w:val="006F3B21"/>
    <w:rsid w:val="006F4BBF"/>
    <w:rsid w:val="006F4F4B"/>
    <w:rsid w:val="00701BD8"/>
    <w:rsid w:val="00703F04"/>
    <w:rsid w:val="007050EB"/>
    <w:rsid w:val="00715FEC"/>
    <w:rsid w:val="00715FFB"/>
    <w:rsid w:val="007357B3"/>
    <w:rsid w:val="00754940"/>
    <w:rsid w:val="00757C1B"/>
    <w:rsid w:val="00762221"/>
    <w:rsid w:val="00762719"/>
    <w:rsid w:val="00771CF9"/>
    <w:rsid w:val="00773EBB"/>
    <w:rsid w:val="00796D12"/>
    <w:rsid w:val="007A4569"/>
    <w:rsid w:val="007A5590"/>
    <w:rsid w:val="007B0C80"/>
    <w:rsid w:val="007B1CEF"/>
    <w:rsid w:val="007C59D1"/>
    <w:rsid w:val="007D63E0"/>
    <w:rsid w:val="007E4089"/>
    <w:rsid w:val="007E4699"/>
    <w:rsid w:val="007E7CED"/>
    <w:rsid w:val="007F28E9"/>
    <w:rsid w:val="0081030E"/>
    <w:rsid w:val="00815963"/>
    <w:rsid w:val="00815DF0"/>
    <w:rsid w:val="008214EE"/>
    <w:rsid w:val="00821946"/>
    <w:rsid w:val="00827712"/>
    <w:rsid w:val="00841274"/>
    <w:rsid w:val="008426B9"/>
    <w:rsid w:val="0084640F"/>
    <w:rsid w:val="00853C08"/>
    <w:rsid w:val="008552AC"/>
    <w:rsid w:val="00861328"/>
    <w:rsid w:val="00892CC5"/>
    <w:rsid w:val="00894832"/>
    <w:rsid w:val="00897702"/>
    <w:rsid w:val="008B4D4E"/>
    <w:rsid w:val="008C5C6A"/>
    <w:rsid w:val="008D2DFB"/>
    <w:rsid w:val="008D5FB8"/>
    <w:rsid w:val="008D6C3E"/>
    <w:rsid w:val="008E2F8D"/>
    <w:rsid w:val="008E659F"/>
    <w:rsid w:val="008F5C0F"/>
    <w:rsid w:val="008F690F"/>
    <w:rsid w:val="009024FD"/>
    <w:rsid w:val="00907610"/>
    <w:rsid w:val="009115C0"/>
    <w:rsid w:val="00920EB4"/>
    <w:rsid w:val="00925624"/>
    <w:rsid w:val="009445CB"/>
    <w:rsid w:val="00953C5F"/>
    <w:rsid w:val="00955CDB"/>
    <w:rsid w:val="0096203A"/>
    <w:rsid w:val="009671A0"/>
    <w:rsid w:val="00974A07"/>
    <w:rsid w:val="00976D79"/>
    <w:rsid w:val="00977146"/>
    <w:rsid w:val="009912DF"/>
    <w:rsid w:val="009B10BB"/>
    <w:rsid w:val="009B5118"/>
    <w:rsid w:val="009D6E54"/>
    <w:rsid w:val="009E5353"/>
    <w:rsid w:val="00A103E8"/>
    <w:rsid w:val="00A14D70"/>
    <w:rsid w:val="00A15486"/>
    <w:rsid w:val="00A1794F"/>
    <w:rsid w:val="00A25E2E"/>
    <w:rsid w:val="00A40619"/>
    <w:rsid w:val="00A41260"/>
    <w:rsid w:val="00A5436F"/>
    <w:rsid w:val="00A54D6C"/>
    <w:rsid w:val="00A63074"/>
    <w:rsid w:val="00A70CE4"/>
    <w:rsid w:val="00A74216"/>
    <w:rsid w:val="00A93D85"/>
    <w:rsid w:val="00A94DB0"/>
    <w:rsid w:val="00AB7FFB"/>
    <w:rsid w:val="00AE19E5"/>
    <w:rsid w:val="00AE53CD"/>
    <w:rsid w:val="00AF03D8"/>
    <w:rsid w:val="00B10B2C"/>
    <w:rsid w:val="00B1139B"/>
    <w:rsid w:val="00B11A4D"/>
    <w:rsid w:val="00B12C69"/>
    <w:rsid w:val="00B174AD"/>
    <w:rsid w:val="00B17F27"/>
    <w:rsid w:val="00B63F0D"/>
    <w:rsid w:val="00B76EF2"/>
    <w:rsid w:val="00B822C0"/>
    <w:rsid w:val="00B86E16"/>
    <w:rsid w:val="00B95E7C"/>
    <w:rsid w:val="00BB2512"/>
    <w:rsid w:val="00BB2EFE"/>
    <w:rsid w:val="00BB610C"/>
    <w:rsid w:val="00BC0DEA"/>
    <w:rsid w:val="00BC6CB6"/>
    <w:rsid w:val="00BD2021"/>
    <w:rsid w:val="00BD3E27"/>
    <w:rsid w:val="00BD774E"/>
    <w:rsid w:val="00BD7C16"/>
    <w:rsid w:val="00BE18DA"/>
    <w:rsid w:val="00BE4040"/>
    <w:rsid w:val="00C04EA9"/>
    <w:rsid w:val="00C07000"/>
    <w:rsid w:val="00C21F8F"/>
    <w:rsid w:val="00C23E73"/>
    <w:rsid w:val="00C33495"/>
    <w:rsid w:val="00C367AC"/>
    <w:rsid w:val="00C434D5"/>
    <w:rsid w:val="00C442D4"/>
    <w:rsid w:val="00C4714F"/>
    <w:rsid w:val="00C47BB7"/>
    <w:rsid w:val="00C52917"/>
    <w:rsid w:val="00C55336"/>
    <w:rsid w:val="00C55E1E"/>
    <w:rsid w:val="00C572FF"/>
    <w:rsid w:val="00C60514"/>
    <w:rsid w:val="00C63B55"/>
    <w:rsid w:val="00C64112"/>
    <w:rsid w:val="00C64727"/>
    <w:rsid w:val="00C72D6F"/>
    <w:rsid w:val="00C750A8"/>
    <w:rsid w:val="00C84B8E"/>
    <w:rsid w:val="00C87692"/>
    <w:rsid w:val="00CA3F3B"/>
    <w:rsid w:val="00CC429C"/>
    <w:rsid w:val="00CD6B62"/>
    <w:rsid w:val="00CE5620"/>
    <w:rsid w:val="00CE6506"/>
    <w:rsid w:val="00CF640D"/>
    <w:rsid w:val="00D022BE"/>
    <w:rsid w:val="00D1322A"/>
    <w:rsid w:val="00D22A7A"/>
    <w:rsid w:val="00D27CA8"/>
    <w:rsid w:val="00D36E61"/>
    <w:rsid w:val="00D65C77"/>
    <w:rsid w:val="00D7786C"/>
    <w:rsid w:val="00D77D21"/>
    <w:rsid w:val="00DC2003"/>
    <w:rsid w:val="00DD0850"/>
    <w:rsid w:val="00DE7342"/>
    <w:rsid w:val="00DF7199"/>
    <w:rsid w:val="00E12A8C"/>
    <w:rsid w:val="00E213C5"/>
    <w:rsid w:val="00E24110"/>
    <w:rsid w:val="00E360B4"/>
    <w:rsid w:val="00E40304"/>
    <w:rsid w:val="00E5604C"/>
    <w:rsid w:val="00E60B8A"/>
    <w:rsid w:val="00E60D9E"/>
    <w:rsid w:val="00E81AFB"/>
    <w:rsid w:val="00E87E34"/>
    <w:rsid w:val="00E92ADE"/>
    <w:rsid w:val="00E92FB4"/>
    <w:rsid w:val="00E95C66"/>
    <w:rsid w:val="00EA6068"/>
    <w:rsid w:val="00EC26F5"/>
    <w:rsid w:val="00ED04B8"/>
    <w:rsid w:val="00ED135F"/>
    <w:rsid w:val="00ED14D2"/>
    <w:rsid w:val="00EE03AC"/>
    <w:rsid w:val="00EE237A"/>
    <w:rsid w:val="00F15523"/>
    <w:rsid w:val="00F246FD"/>
    <w:rsid w:val="00F24C93"/>
    <w:rsid w:val="00F36EC1"/>
    <w:rsid w:val="00F452C9"/>
    <w:rsid w:val="00F466D0"/>
    <w:rsid w:val="00F54284"/>
    <w:rsid w:val="00F70938"/>
    <w:rsid w:val="00F83586"/>
    <w:rsid w:val="00F9038C"/>
    <w:rsid w:val="00F90CEB"/>
    <w:rsid w:val="00FA29BB"/>
    <w:rsid w:val="00FB3CFE"/>
    <w:rsid w:val="00FC0135"/>
    <w:rsid w:val="00FC47E0"/>
    <w:rsid w:val="00FD13D8"/>
    <w:rsid w:val="00FE4326"/>
    <w:rsid w:val="00FE7ABF"/>
    <w:rsid w:val="00FF493E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B2AA3"/>
  <w15:docId w15:val="{D530FAD7-5A2F-45CD-9D8F-0EE1FD3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2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12C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C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5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4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B8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D63E0"/>
    <w:pPr>
      <w:widowControl w:val="0"/>
      <w:overflowPunct/>
      <w:adjustRightInd/>
      <w:spacing w:before="79"/>
      <w:ind w:left="127"/>
      <w:jc w:val="center"/>
      <w:textAlignment w:val="auto"/>
    </w:pPr>
    <w:rPr>
      <w:rFonts w:eastAsia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  <SharedWithUsers xmlns="3910a527-5153-4074-b2b6-a7bdb06d1bd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61ED0A-7A31-4FC2-BE6E-D000B35D1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B20F2-9687-43ED-82B3-F23A69BD4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24B97-DA79-422E-8B19-3AA6B985C8AF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FEDERATION OF WOMEN’S INSTITUTES</vt:lpstr>
    </vt:vector>
  </TitlesOfParts>
  <Company>Nottinghamshire Federation of Women's Institutes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creator>.</dc:creator>
  <cp:lastModifiedBy>Sue Sanderson</cp:lastModifiedBy>
  <cp:revision>24</cp:revision>
  <cp:lastPrinted>2023-02-22T15:44:00Z</cp:lastPrinted>
  <dcterms:created xsi:type="dcterms:W3CDTF">2025-02-04T09:42:00Z</dcterms:created>
  <dcterms:modified xsi:type="dcterms:W3CDTF">2025-02-11T13:17:00Z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</Properties>
</file>